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rPr>
          <w:rFonts w:ascii="Times New Roman" w:hAnsi="Times New Roman"/>
        </w:rPr>
      </w:pPr>
      <w:bookmarkStart w:id="0" w:name="OLE_LINK24"/>
      <w:bookmarkStart w:id="1" w:name="OLE_LINK34"/>
      <w:bookmarkStart w:id="2" w:name="OLE_LINK13"/>
      <w:bookmarkStart w:id="3" w:name="OLE_LINK33"/>
      <w:bookmarkStart w:id="4" w:name="OLE_LINK12"/>
      <w:r>
        <w:rPr>
          <w:rFonts w:ascii="Times New Roman" w:hAnsi="Times New Roman"/>
          <w:b/>
        </w:rPr>
        <w:t>3GPP TSG RAN WG1 Meeting #102-e                                       R1-200546</w:t>
      </w:r>
      <w:r>
        <w:rPr>
          <w:rFonts w:hint="eastAsia" w:ascii="Times New Roman" w:hAnsi="Times New Roman"/>
          <w:b/>
        </w:rPr>
        <w:t>2</w:t>
      </w:r>
    </w:p>
    <w:p>
      <w:pPr>
        <w:tabs>
          <w:tab w:val="center" w:pos="4536"/>
          <w:tab w:val="right" w:pos="8280"/>
          <w:tab w:val="right" w:pos="9639"/>
        </w:tabs>
        <w:snapToGrid w:val="0"/>
        <w:spacing w:after="0" w:line="240" w:lineRule="auto"/>
        <w:ind w:left="442" w:right="2" w:hanging="442" w:hangingChars="200"/>
        <w:rPr>
          <w:rFonts w:ascii="Times New Roman" w:hAnsi="Times New Roman"/>
          <w:b/>
        </w:rPr>
      </w:pPr>
      <w:r>
        <w:rPr>
          <w:rFonts w:ascii="Times New Roman" w:hAnsi="Times New Roman"/>
          <w:b/>
        </w:rPr>
        <w:t>e-Meeting, August 17</w:t>
      </w:r>
      <w:r>
        <w:rPr>
          <w:rFonts w:ascii="Times New Roman" w:hAnsi="Times New Roman"/>
          <w:b/>
          <w:vertAlign w:val="superscript"/>
        </w:rPr>
        <w:t>th</w:t>
      </w:r>
      <w:r>
        <w:rPr>
          <w:rFonts w:ascii="Times New Roman" w:hAnsi="Times New Roman"/>
          <w:b/>
        </w:rPr>
        <w:t xml:space="preserve"> – August 28</w:t>
      </w:r>
      <w:r>
        <w:rPr>
          <w:rFonts w:ascii="Times New Roman" w:hAnsi="Times New Roman"/>
          <w:b/>
          <w:vertAlign w:val="superscript"/>
        </w:rPr>
        <w:t>th</w:t>
      </w:r>
      <w:r>
        <w:rPr>
          <w:rFonts w:ascii="Times New Roman" w:hAnsi="Times New Roman"/>
          <w:b/>
        </w:rPr>
        <w:t>, 2020</w:t>
      </w:r>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r>
        <w:rPr>
          <w:rFonts w:ascii="Times New Roman" w:hAnsi="Times New Roman" w:eastAsia="宋体"/>
          <w:b/>
        </w:rPr>
        <w:t>Title:           Evaluation assumptions for NR positioning enhancements</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r>
        <w:rPr>
          <w:rFonts w:ascii="Times New Roman" w:hAnsi="Times New Roman" w:eastAsia="宋体"/>
          <w:b/>
        </w:rPr>
        <w:t>Agenda item:    8.5.</w:t>
      </w:r>
      <w:r>
        <w:rPr>
          <w:rFonts w:hint="eastAsia" w:ascii="Times New Roman" w:hAnsi="Times New Roman" w:eastAsia="宋体"/>
          <w:b/>
        </w:rPr>
        <w:t>1</w:t>
      </w:r>
    </w:p>
    <w:bookmarkEnd w:id="1"/>
    <w:bookmarkEnd w:id="2"/>
    <w:bookmarkEnd w:id="3"/>
    <w:bookmarkEnd w:id="4"/>
    <w:p>
      <w:pPr>
        <w:pBdr>
          <w:bottom w:val="single" w:color="auto" w:sz="6" w:space="1"/>
        </w:pBdr>
        <w:snapToGrid w:val="0"/>
        <w:spacing w:after="0" w:line="240" w:lineRule="auto"/>
        <w:ind w:left="1797" w:hanging="1797"/>
        <w:rPr>
          <w:rFonts w:ascii="Times New Roman" w:hAnsi="Times New Roman" w:eastAsia="宋体"/>
          <w:b/>
        </w:rPr>
      </w:pPr>
      <w:r>
        <w:rPr>
          <w:rFonts w:ascii="Times New Roman" w:hAnsi="Times New Roman"/>
          <w:b/>
        </w:rPr>
        <w:t>Document for:</w:t>
      </w:r>
      <w:r>
        <w:rPr>
          <w:rFonts w:hint="eastAsia" w:ascii="Times New Roman" w:hAnsi="Times New Roman"/>
          <w:b/>
        </w:rPr>
        <w:t xml:space="preserve">   </w:t>
      </w:r>
      <w:r>
        <w:rPr>
          <w:rFonts w:ascii="Times New Roman" w:hAnsi="Times New Roman"/>
          <w:b/>
          <w:lang w:eastAsia="ja-JP"/>
        </w:rPr>
        <w:t>Discussion and Decision</w:t>
      </w:r>
    </w:p>
    <w:p>
      <w:pPr>
        <w:pStyle w:val="2"/>
        <w:snapToGrid w:val="0"/>
        <w:spacing w:before="180" w:beforeLines="50" w:after="180" w:afterLines="50"/>
        <w:ind w:left="431" w:hanging="431"/>
        <w:rPr>
          <w:rFonts w:ascii="Times New Roman" w:hAnsi="Times New Roman"/>
          <w:sz w:val="28"/>
          <w:lang w:val="en-US"/>
        </w:rPr>
      </w:pPr>
      <w:r>
        <w:rPr>
          <w:rFonts w:ascii="Times New Roman" w:hAnsi="Times New Roman"/>
          <w:sz w:val="28"/>
          <w:lang w:val="en-US"/>
        </w:rPr>
        <w:t>Introduction</w:t>
      </w:r>
      <w:bookmarkStart w:id="8" w:name="_GoBack"/>
      <w:bookmarkEnd w:id="8"/>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RAN1#101-e meeting, some evaluation assumptions have been discussed</w:t>
      </w:r>
      <w:r>
        <w:rPr>
          <w:rFonts w:ascii="Times New Roman" w:hAnsi="Times New Roman"/>
          <w:sz w:val="20"/>
          <w:szCs w:val="20"/>
        </w:rPr>
        <w:t xml:space="preserve"> </w:t>
      </w:r>
      <w:r>
        <w:rPr>
          <w:rFonts w:hint="eastAsia" w:ascii="Times New Roman" w:hAnsi="Times New Roman"/>
          <w:sz w:val="20"/>
          <w:szCs w:val="20"/>
        </w:rPr>
        <w:t>and</w:t>
      </w:r>
      <w:r>
        <w:rPr>
          <w:rFonts w:ascii="Times New Roman" w:hAnsi="Times New Roman"/>
          <w:sz w:val="20"/>
          <w:szCs w:val="20"/>
        </w:rPr>
        <w:t xml:space="preserve"> agreed</w:t>
      </w:r>
      <w:r>
        <w:rPr>
          <w:rFonts w:hint="eastAsia" w:ascii="Times New Roman" w:hAnsi="Times New Roman"/>
          <w:sz w:val="20"/>
          <w:szCs w:val="20"/>
        </w:rPr>
        <w:t xml:space="preserve"> for NR positioning enhancements, especially on scenarios, requirements and parameter settings. However, there are still some remaining issues to be further discussed, such as exact accuracy and latency requirements, network efficiency and UE efficiency</w:t>
      </w:r>
      <w:r>
        <w:rPr>
          <w:rFonts w:hint="eastAsia" w:ascii="Times New Roman" w:hAnsi="Times New Roman"/>
          <w:sz w:val="20"/>
          <w:szCs w:val="20"/>
          <w:lang w:val="en-US" w:eastAsia="zh-CN"/>
        </w:rPr>
        <w:t xml:space="preserve">, </w:t>
      </w:r>
      <w:r>
        <w:rPr>
          <w:rFonts w:hint="eastAsia" w:ascii="Times New Roman" w:hAnsi="Times New Roman"/>
          <w:sz w:val="20"/>
          <w:szCs w:val="20"/>
        </w:rPr>
        <w:t>UE/gNB RX and TX timing error model</w:t>
      </w:r>
      <w:r>
        <w:rPr>
          <w:rFonts w:ascii="Times New Roman" w:hAnsi="Times New Roman"/>
          <w:sz w:val="20"/>
          <w:szCs w:val="20"/>
        </w:rPr>
        <w:t xml:space="preserve"> and </w:t>
      </w:r>
      <w:r>
        <w:rPr>
          <w:rFonts w:hint="eastAsia" w:ascii="Times New Roman" w:hAnsi="Times New Roman"/>
          <w:sz w:val="20"/>
          <w:szCs w:val="20"/>
        </w:rPr>
        <w:t>excess delay for commercial use cases. In this contribution, we provide our views on</w:t>
      </w:r>
      <w:r>
        <w:rPr>
          <w:rFonts w:ascii="Times New Roman" w:hAnsi="Times New Roman"/>
          <w:sz w:val="20"/>
          <w:szCs w:val="20"/>
        </w:rPr>
        <w:t xml:space="preserve"> these</w:t>
      </w:r>
      <w:r>
        <w:rPr>
          <w:rFonts w:hint="eastAsia" w:ascii="Times New Roman" w:hAnsi="Times New Roman"/>
          <w:sz w:val="20"/>
          <w:szCs w:val="20"/>
        </w:rPr>
        <w:t xml:space="preserve"> remaining issues.</w:t>
      </w:r>
    </w:p>
    <w:p>
      <w:pPr>
        <w:pStyle w:val="2"/>
        <w:snapToGrid w:val="0"/>
        <w:spacing w:before="180" w:beforeLines="50" w:after="180" w:afterLines="50"/>
        <w:ind w:left="431" w:hanging="431"/>
        <w:rPr>
          <w:rFonts w:ascii="Times New Roman" w:hAnsi="Times New Roman"/>
          <w:sz w:val="28"/>
          <w:lang w:val="en-US"/>
        </w:rPr>
      </w:pPr>
      <w:r>
        <w:rPr>
          <w:rFonts w:hint="eastAsia" w:ascii="Times New Roman" w:hAnsi="Times New Roman"/>
          <w:sz w:val="28"/>
          <w:lang w:val="en-US"/>
        </w:rPr>
        <w:t>Remaining issues on evaluation assumptions</w:t>
      </w:r>
    </w:p>
    <w:p>
      <w:pPr>
        <w:snapToGrid w:val="0"/>
        <w:spacing w:before="180" w:beforeLines="50" w:after="180" w:afterLines="50" w:line="240" w:lineRule="auto"/>
        <w:jc w:val="both"/>
        <w:rPr>
          <w:rFonts w:ascii="Times New Roman" w:hAnsi="Times New Roman"/>
          <w:b/>
          <w:bCs/>
          <w:sz w:val="20"/>
          <w:szCs w:val="20"/>
          <w:u w:val="single"/>
        </w:rPr>
      </w:pPr>
      <w:r>
        <w:rPr>
          <w:rFonts w:hint="eastAsia" w:ascii="Times New Roman" w:hAnsi="Times New Roman"/>
          <w:b/>
          <w:bCs/>
          <w:sz w:val="20"/>
          <w:szCs w:val="20"/>
          <w:u w:val="single"/>
        </w:rPr>
        <w:t>Issue#1: exact accuracy and latency requirements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Although the SID [1] has </w:t>
      </w:r>
      <w:r>
        <w:rPr>
          <w:rFonts w:ascii="Times New Roman" w:hAnsi="Times New Roman"/>
          <w:sz w:val="20"/>
          <w:szCs w:val="20"/>
        </w:rPr>
        <w:t>provide</w:t>
      </w:r>
      <w:r>
        <w:rPr>
          <w:rFonts w:hint="eastAsia" w:ascii="Times New Roman" w:hAnsi="Times New Roman"/>
          <w:sz w:val="20"/>
          <w:szCs w:val="20"/>
        </w:rPr>
        <w:t>d</w:t>
      </w:r>
      <w:r>
        <w:rPr>
          <w:rFonts w:ascii="Times New Roman" w:hAnsi="Times New Roman"/>
          <w:sz w:val="20"/>
          <w:szCs w:val="20"/>
        </w:rPr>
        <w:t xml:space="preserve"> the exemplary performance targets in the justification</w:t>
      </w:r>
      <w:r>
        <w:rPr>
          <w:rFonts w:hint="eastAsia" w:ascii="Times New Roman" w:hAnsi="Times New Roman"/>
          <w:sz w:val="20"/>
          <w:szCs w:val="20"/>
        </w:rPr>
        <w:t xml:space="preserve">, </w:t>
      </w:r>
      <w:r>
        <w:rPr>
          <w:rFonts w:ascii="Times New Roman" w:hAnsi="Times New Roman"/>
          <w:sz w:val="20"/>
          <w:szCs w:val="20"/>
        </w:rPr>
        <w:t>it</w:t>
      </w:r>
      <w:r>
        <w:rPr>
          <w:rFonts w:hint="eastAsia" w:ascii="Times New Roman" w:hAnsi="Times New Roman"/>
          <w:sz w:val="20"/>
          <w:szCs w:val="20"/>
        </w:rPr>
        <w:t xml:space="preserve"> doesn</w:t>
      </w:r>
      <w:r>
        <w:rPr>
          <w:rFonts w:ascii="Times New Roman" w:hAnsi="Times New Roman"/>
          <w:sz w:val="20"/>
          <w:szCs w:val="20"/>
        </w:rPr>
        <w:t>’</w:t>
      </w:r>
      <w:r>
        <w:rPr>
          <w:rFonts w:hint="eastAsia" w:ascii="Times New Roman" w:hAnsi="Times New Roman"/>
          <w:sz w:val="20"/>
          <w:szCs w:val="20"/>
        </w:rPr>
        <w:t>t comprise the exact requirements on horizontal position</w:t>
      </w:r>
      <w:r>
        <w:rPr>
          <w:rFonts w:ascii="Times New Roman" w:hAnsi="Times New Roman"/>
          <w:sz w:val="20"/>
          <w:szCs w:val="20"/>
        </w:rPr>
        <w:t>ing</w:t>
      </w:r>
      <w:r>
        <w:rPr>
          <w:rFonts w:hint="eastAsia" w:ascii="Times New Roman" w:hAnsi="Times New Roman"/>
          <w:sz w:val="20"/>
          <w:szCs w:val="20"/>
        </w:rPr>
        <w:t xml:space="preserve"> accuracy, vertical position</w:t>
      </w:r>
      <w:r>
        <w:rPr>
          <w:rFonts w:ascii="Times New Roman" w:hAnsi="Times New Roman"/>
          <w:sz w:val="20"/>
          <w:szCs w:val="20"/>
        </w:rPr>
        <w:t>ing</w:t>
      </w:r>
      <w:r>
        <w:rPr>
          <w:rFonts w:hint="eastAsia" w:ascii="Times New Roman" w:hAnsi="Times New Roman"/>
          <w:sz w:val="20"/>
          <w:szCs w:val="20"/>
        </w:rPr>
        <w:t xml:space="preserve"> accuracy, end-to-end latency and physical layer latency. In order to find the performance gap based on Rel-16 positioning techniques and set up the performance targets for Rel-17 positioning enhancements, the above requirements should be defined clearly in SI phase.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following agreement has been made in last meeting,</w:t>
      </w:r>
    </w:p>
    <w:tbl>
      <w:tblPr>
        <w:tblStyle w:val="24"/>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numPr>
                <w:ilvl w:val="0"/>
                <w:numId w:val="3"/>
              </w:numPr>
              <w:spacing w:before="180" w:beforeLines="50" w:after="180" w:afterLines="50" w:line="20" w:lineRule="atLeast"/>
              <w:ind w:left="780"/>
              <w:rPr>
                <w:rFonts w:ascii="Times New Roman" w:hAnsi="Times New Roman" w:eastAsia="宋体"/>
                <w:sz w:val="20"/>
                <w:szCs w:val="20"/>
              </w:rPr>
            </w:pPr>
            <w:r>
              <w:rPr>
                <w:rFonts w:ascii="Times New Roman" w:hAnsi="Times New Roman" w:eastAsia="宋体"/>
                <w:sz w:val="20"/>
                <w:szCs w:val="20"/>
              </w:rPr>
              <w:t xml:space="preserve">In Rel-17 target positioning requirements for </w:t>
            </w:r>
            <w:r>
              <w:rPr>
                <w:rFonts w:ascii="Times New Roman" w:hAnsi="Times New Roman" w:eastAsia="宋体"/>
                <w:b/>
                <w:sz w:val="20"/>
                <w:szCs w:val="20"/>
              </w:rPr>
              <w:t>commercial use cases</w:t>
            </w:r>
            <w:r>
              <w:rPr>
                <w:rFonts w:ascii="Times New Roman" w:hAnsi="Times New Roman" w:eastAsia="宋体"/>
                <w:sz w:val="20"/>
                <w:szCs w:val="20"/>
              </w:rPr>
              <w:t xml:space="preserve"> are defined as follows:</w:t>
            </w:r>
          </w:p>
          <w:p>
            <w:pPr>
              <w:numPr>
                <w:ilvl w:val="1"/>
                <w:numId w:val="4"/>
              </w:numPr>
              <w:tabs>
                <w:tab w:val="left" w:pos="1004"/>
              </w:tabs>
              <w:spacing w:before="180" w:beforeLines="50" w:after="180" w:afterLines="50" w:line="20" w:lineRule="atLeast"/>
              <w:ind w:left="1500"/>
              <w:contextualSpacing/>
              <w:rPr>
                <w:rFonts w:ascii="Times New Roman" w:hAnsi="Times New Roman" w:eastAsia="宋体"/>
                <w:sz w:val="20"/>
                <w:szCs w:val="20"/>
              </w:rPr>
            </w:pPr>
            <w:r>
              <w:rPr>
                <w:rFonts w:ascii="Times New Roman" w:hAnsi="Times New Roman" w:eastAsia="宋体"/>
                <w:sz w:val="20"/>
                <w:szCs w:val="20"/>
              </w:rPr>
              <w:t>Horizontal position accuracy (&lt; 1 m) for [90%] of UEs</w:t>
            </w:r>
          </w:p>
          <w:p>
            <w:pPr>
              <w:numPr>
                <w:ilvl w:val="1"/>
                <w:numId w:val="4"/>
              </w:numPr>
              <w:tabs>
                <w:tab w:val="left" w:pos="1004"/>
              </w:tabs>
              <w:spacing w:before="180" w:beforeLines="50" w:after="180" w:afterLines="50" w:line="20" w:lineRule="atLeast"/>
              <w:ind w:left="1500"/>
              <w:contextualSpacing/>
              <w:rPr>
                <w:rFonts w:ascii="Times New Roman" w:hAnsi="Times New Roman" w:eastAsia="宋体"/>
                <w:sz w:val="20"/>
                <w:szCs w:val="20"/>
              </w:rPr>
            </w:pPr>
            <w:r>
              <w:rPr>
                <w:rFonts w:ascii="Times New Roman" w:hAnsi="Times New Roman" w:eastAsia="宋体"/>
                <w:sz w:val="20"/>
                <w:szCs w:val="20"/>
              </w:rPr>
              <w:t>Vertical position accuracy (&lt; [2 or 3] m) for [90%] of UEs</w:t>
            </w:r>
          </w:p>
          <w:p>
            <w:pPr>
              <w:numPr>
                <w:ilvl w:val="1"/>
                <w:numId w:val="4"/>
              </w:numPr>
              <w:tabs>
                <w:tab w:val="left" w:pos="1004"/>
              </w:tabs>
              <w:spacing w:before="180" w:beforeLines="50" w:after="180" w:afterLines="50" w:line="20" w:lineRule="atLeast"/>
              <w:ind w:left="1500"/>
              <w:contextualSpacing/>
              <w:rPr>
                <w:rFonts w:ascii="Times New Roman" w:hAnsi="Times New Roman" w:eastAsia="宋体"/>
                <w:sz w:val="20"/>
                <w:szCs w:val="20"/>
              </w:rPr>
            </w:pPr>
            <w:r>
              <w:rPr>
                <w:rFonts w:ascii="Times New Roman" w:hAnsi="Times New Roman" w:eastAsia="宋体"/>
                <w:sz w:val="20"/>
                <w:szCs w:val="20"/>
              </w:rPr>
              <w:t>End-to-end latency for position estimation of UE (&lt; [100 ms])</w:t>
            </w:r>
          </w:p>
          <w:p>
            <w:pPr>
              <w:numPr>
                <w:ilvl w:val="1"/>
                <w:numId w:val="4"/>
              </w:numPr>
              <w:tabs>
                <w:tab w:val="left" w:pos="1004"/>
              </w:tabs>
              <w:spacing w:before="180" w:beforeLines="50" w:after="180" w:afterLines="50" w:line="20" w:lineRule="atLeast"/>
              <w:ind w:left="1500"/>
              <w:contextualSpacing/>
              <w:rPr>
                <w:rFonts w:ascii="Times New Roman" w:hAnsi="Times New Roman" w:eastAsia="宋体"/>
                <w:sz w:val="20"/>
                <w:szCs w:val="20"/>
              </w:rPr>
            </w:pPr>
            <w:r>
              <w:rPr>
                <w:rFonts w:ascii="Times New Roman" w:hAnsi="Times New Roman" w:eastAsia="宋体"/>
                <w:sz w:val="20"/>
                <w:szCs w:val="20"/>
              </w:rPr>
              <w:t>FFS: Physical layer latency for position estimation of UE (&lt; [10 ms])</w:t>
            </w:r>
          </w:p>
          <w:p>
            <w:pPr>
              <w:numPr>
                <w:ilvl w:val="0"/>
                <w:numId w:val="3"/>
              </w:numPr>
              <w:spacing w:before="180" w:beforeLines="50" w:after="180" w:afterLines="50" w:line="20" w:lineRule="atLeast"/>
              <w:ind w:left="780"/>
              <w:rPr>
                <w:rFonts w:ascii="Times New Roman" w:hAnsi="Times New Roman" w:eastAsia="宋体"/>
                <w:sz w:val="20"/>
                <w:szCs w:val="20"/>
              </w:rPr>
            </w:pPr>
            <w:r>
              <w:rPr>
                <w:rFonts w:ascii="Times New Roman" w:hAnsi="Times New Roman" w:eastAsia="宋体"/>
                <w:sz w:val="20"/>
                <w:szCs w:val="20"/>
              </w:rPr>
              <w:t xml:space="preserve">In Rel-17 target positioning requirements for </w:t>
            </w:r>
            <w:r>
              <w:rPr>
                <w:rFonts w:ascii="Times New Roman" w:hAnsi="Times New Roman" w:eastAsia="宋体"/>
                <w:b/>
                <w:bCs/>
                <w:sz w:val="20"/>
                <w:szCs w:val="20"/>
              </w:rPr>
              <w:t>IIoT use cases</w:t>
            </w:r>
            <w:r>
              <w:rPr>
                <w:rFonts w:ascii="Times New Roman" w:hAnsi="Times New Roman" w:eastAsia="宋体"/>
                <w:sz w:val="20"/>
                <w:szCs w:val="20"/>
              </w:rPr>
              <w:t xml:space="preserve"> are defined as follows:</w:t>
            </w:r>
          </w:p>
          <w:p>
            <w:pPr>
              <w:numPr>
                <w:ilvl w:val="1"/>
                <w:numId w:val="4"/>
              </w:numPr>
              <w:tabs>
                <w:tab w:val="left" w:pos="1004"/>
              </w:tabs>
              <w:spacing w:before="180" w:beforeLines="50" w:after="180" w:afterLines="50" w:line="20" w:lineRule="atLeast"/>
              <w:ind w:left="1500"/>
              <w:contextualSpacing/>
              <w:rPr>
                <w:rFonts w:ascii="Times New Roman" w:hAnsi="Times New Roman" w:eastAsia="宋体"/>
                <w:sz w:val="20"/>
                <w:szCs w:val="20"/>
              </w:rPr>
            </w:pPr>
            <w:r>
              <w:rPr>
                <w:rFonts w:ascii="Times New Roman" w:hAnsi="Times New Roman" w:eastAsia="宋体"/>
                <w:sz w:val="20"/>
                <w:szCs w:val="20"/>
              </w:rPr>
              <w:t>Horizontal position accuracy (&lt; X m) for [90%] of UEs</w:t>
            </w:r>
          </w:p>
          <w:p>
            <w:pPr>
              <w:numPr>
                <w:ilvl w:val="2"/>
                <w:numId w:val="4"/>
              </w:numPr>
              <w:tabs>
                <w:tab w:val="left" w:pos="1004"/>
              </w:tabs>
              <w:spacing w:before="180" w:beforeLines="50" w:after="180" w:afterLines="50" w:line="20" w:lineRule="atLeast"/>
              <w:ind w:left="2580"/>
              <w:contextualSpacing/>
              <w:rPr>
                <w:rFonts w:ascii="Times New Roman" w:hAnsi="Times New Roman" w:eastAsia="宋体"/>
                <w:sz w:val="20"/>
                <w:szCs w:val="20"/>
              </w:rPr>
            </w:pPr>
            <w:r>
              <w:rPr>
                <w:rFonts w:ascii="Times New Roman" w:hAnsi="Times New Roman" w:eastAsia="宋体"/>
                <w:sz w:val="20"/>
                <w:szCs w:val="20"/>
              </w:rPr>
              <w:t>X = [0.2 or 0.5] m</w:t>
            </w:r>
          </w:p>
          <w:p>
            <w:pPr>
              <w:numPr>
                <w:ilvl w:val="1"/>
                <w:numId w:val="4"/>
              </w:numPr>
              <w:tabs>
                <w:tab w:val="left" w:pos="1004"/>
              </w:tabs>
              <w:spacing w:before="180" w:beforeLines="50" w:after="180" w:afterLines="50" w:line="20" w:lineRule="atLeast"/>
              <w:ind w:left="1500"/>
              <w:contextualSpacing/>
              <w:rPr>
                <w:rFonts w:ascii="Times New Roman" w:hAnsi="Times New Roman" w:eastAsia="宋体"/>
                <w:sz w:val="20"/>
                <w:szCs w:val="20"/>
              </w:rPr>
            </w:pPr>
            <w:r>
              <w:rPr>
                <w:rFonts w:ascii="Times New Roman" w:hAnsi="Times New Roman" w:eastAsia="宋体"/>
                <w:sz w:val="20"/>
                <w:szCs w:val="20"/>
              </w:rPr>
              <w:t>Vertical position accuracy (&lt; Y m) for [90%] of UEs</w:t>
            </w:r>
          </w:p>
          <w:p>
            <w:pPr>
              <w:numPr>
                <w:ilvl w:val="2"/>
                <w:numId w:val="4"/>
              </w:numPr>
              <w:tabs>
                <w:tab w:val="left" w:pos="1004"/>
              </w:tabs>
              <w:spacing w:before="180" w:beforeLines="50" w:after="180" w:afterLines="50" w:line="20" w:lineRule="atLeast"/>
              <w:ind w:left="2580"/>
              <w:contextualSpacing/>
              <w:rPr>
                <w:rFonts w:ascii="Times New Roman" w:hAnsi="Times New Roman" w:eastAsia="宋体"/>
                <w:sz w:val="20"/>
                <w:szCs w:val="20"/>
              </w:rPr>
            </w:pPr>
            <w:r>
              <w:rPr>
                <w:rFonts w:ascii="Times New Roman" w:hAnsi="Times New Roman" w:eastAsia="宋体"/>
                <w:sz w:val="20"/>
                <w:szCs w:val="20"/>
              </w:rPr>
              <w:t>Y = [0.2 or 1] m</w:t>
            </w:r>
          </w:p>
          <w:p>
            <w:pPr>
              <w:numPr>
                <w:ilvl w:val="1"/>
                <w:numId w:val="4"/>
              </w:numPr>
              <w:tabs>
                <w:tab w:val="left" w:pos="1004"/>
              </w:tabs>
              <w:spacing w:before="180" w:beforeLines="50" w:after="180" w:afterLines="50" w:line="20" w:lineRule="atLeast"/>
              <w:ind w:left="1500"/>
              <w:contextualSpacing/>
              <w:rPr>
                <w:rFonts w:ascii="Times New Roman" w:hAnsi="Times New Roman" w:eastAsia="宋体"/>
                <w:sz w:val="20"/>
                <w:szCs w:val="20"/>
              </w:rPr>
            </w:pPr>
            <w:r>
              <w:rPr>
                <w:rFonts w:ascii="Times New Roman" w:hAnsi="Times New Roman" w:eastAsia="宋体"/>
                <w:sz w:val="20"/>
                <w:szCs w:val="20"/>
              </w:rPr>
              <w:t>End-to-end latency for position estimation of UE (&lt; [10ms, 20ms, or 100ms])</w:t>
            </w:r>
          </w:p>
          <w:p>
            <w:pPr>
              <w:numPr>
                <w:ilvl w:val="1"/>
                <w:numId w:val="4"/>
              </w:numPr>
              <w:tabs>
                <w:tab w:val="left" w:pos="1004"/>
              </w:tabs>
              <w:spacing w:before="180" w:beforeLines="50" w:after="180" w:afterLines="50" w:line="20" w:lineRule="atLeast"/>
              <w:ind w:left="1500"/>
              <w:contextualSpacing/>
              <w:rPr>
                <w:rFonts w:ascii="Times New Roman" w:hAnsi="Times New Roman" w:eastAsia="宋体"/>
                <w:sz w:val="20"/>
                <w:szCs w:val="20"/>
              </w:rPr>
            </w:pPr>
            <w:r>
              <w:rPr>
                <w:rFonts w:ascii="Times New Roman" w:hAnsi="Times New Roman" w:eastAsia="宋体"/>
                <w:sz w:val="20"/>
                <w:szCs w:val="20"/>
              </w:rPr>
              <w:t>FFS: Physical layer latency for position estimation of UE (&lt; [10ms])</w:t>
            </w:r>
          </w:p>
          <w:p>
            <w:pPr>
              <w:numPr>
                <w:ilvl w:val="0"/>
                <w:numId w:val="3"/>
              </w:numPr>
              <w:spacing w:before="180" w:beforeLines="50" w:after="180" w:afterLines="50" w:line="20" w:lineRule="atLeast"/>
              <w:ind w:left="780"/>
              <w:rPr>
                <w:rFonts w:ascii="Times New Roman" w:hAnsi="Times New Roman"/>
                <w:sz w:val="20"/>
                <w:szCs w:val="20"/>
              </w:rPr>
            </w:pPr>
            <w:r>
              <w:rPr>
                <w:rFonts w:ascii="Times New Roman" w:hAnsi="Times New Roman" w:eastAsia="宋体"/>
                <w:sz w:val="20"/>
                <w:szCs w:val="20"/>
              </w:rPr>
              <w:t>Note: Target positioning requirements may not necessarily be reached for all scenarios</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Some values in the brackets need to</w:t>
      </w:r>
      <w:r>
        <w:rPr>
          <w:rFonts w:ascii="Times New Roman" w:hAnsi="Times New Roman"/>
          <w:sz w:val="20"/>
          <w:szCs w:val="20"/>
        </w:rPr>
        <w:t xml:space="preserve"> be</w:t>
      </w:r>
      <w:r>
        <w:rPr>
          <w:rFonts w:hint="eastAsia" w:ascii="Times New Roman" w:hAnsi="Times New Roman"/>
          <w:sz w:val="20"/>
          <w:szCs w:val="20"/>
        </w:rPr>
        <w:t xml:space="preserve"> further discuss</w:t>
      </w:r>
      <w:r>
        <w:rPr>
          <w:rFonts w:ascii="Times New Roman" w:hAnsi="Times New Roman"/>
          <w:sz w:val="20"/>
          <w:szCs w:val="20"/>
        </w:rPr>
        <w:t>ed</w:t>
      </w:r>
      <w:r>
        <w:rPr>
          <w:rFonts w:hint="eastAsia" w:ascii="Times New Roman" w:hAnsi="Times New Roman"/>
          <w:sz w:val="20"/>
          <w:szCs w:val="20"/>
        </w:rPr>
        <w:t xml:space="preserve"> in this meeting. In regard to the target percentile of UEs </w:t>
      </w:r>
      <w:r>
        <w:rPr>
          <w:rFonts w:ascii="Times New Roman" w:hAnsi="Times New Roman"/>
          <w:sz w:val="20"/>
          <w:szCs w:val="20"/>
        </w:rPr>
        <w:t>required to</w:t>
      </w:r>
      <w:r>
        <w:rPr>
          <w:rFonts w:hint="eastAsia" w:ascii="Times New Roman" w:hAnsi="Times New Roman"/>
          <w:sz w:val="20"/>
          <w:szCs w:val="20"/>
        </w:rPr>
        <w:t xml:space="preserve"> meet the position accuracy requirement, it should be larger than the value (80%) defined in Rel-16, and 90% is a reasonable value. For vertical position accuracy in commercial use cases, the floor height 3m might be enough for most of scenarios. Regarding the IIOT use cases, it</w:t>
      </w:r>
      <w:r>
        <w:rPr>
          <w:rFonts w:ascii="Times New Roman" w:hAnsi="Times New Roman"/>
          <w:sz w:val="20"/>
          <w:szCs w:val="20"/>
        </w:rPr>
        <w:t>’</w:t>
      </w:r>
      <w:r>
        <w:rPr>
          <w:rFonts w:hint="eastAsia" w:ascii="Times New Roman" w:hAnsi="Times New Roman"/>
          <w:sz w:val="20"/>
          <w:szCs w:val="20"/>
        </w:rPr>
        <w:t xml:space="preserve">s better that different IIOT channels have different position accuracy requirements, since the LOS probability is different. For example, the targets for InF-SH channel can be </w:t>
      </w:r>
      <w:bookmarkStart w:id="5" w:name="OLE_LINK1"/>
      <w:r>
        <w:rPr>
          <w:rFonts w:hint="eastAsia" w:ascii="Times New Roman" w:hAnsi="Times New Roman"/>
          <w:sz w:val="20"/>
          <w:szCs w:val="20"/>
        </w:rPr>
        <w:t>X=0.2 and Y=0.2</w:t>
      </w:r>
      <w:bookmarkEnd w:id="5"/>
      <w:r>
        <w:rPr>
          <w:rFonts w:hint="eastAsia" w:ascii="Times New Roman" w:hAnsi="Times New Roman"/>
          <w:sz w:val="20"/>
          <w:szCs w:val="20"/>
        </w:rPr>
        <w:t xml:space="preserve">. As for InF-DH channel, more relaxed targets can be X=0.5 and Y=1. Furthermore, the physical layer latency is coupled with end-to-end latency, so the </w:t>
      </w:r>
      <w:r>
        <w:rPr>
          <w:rFonts w:ascii="Times New Roman" w:hAnsi="Times New Roman"/>
          <w:sz w:val="20"/>
          <w:szCs w:val="20"/>
        </w:rPr>
        <w:t xml:space="preserve">decision on </w:t>
      </w:r>
      <w:r>
        <w:rPr>
          <w:rFonts w:hint="eastAsia" w:ascii="Times New Roman" w:hAnsi="Times New Roman"/>
          <w:sz w:val="20"/>
          <w:szCs w:val="20"/>
        </w:rPr>
        <w:t xml:space="preserve">the exact requirement of latency should </w:t>
      </w:r>
      <w:r>
        <w:rPr>
          <w:rFonts w:ascii="Times New Roman" w:hAnsi="Times New Roman"/>
          <w:sz w:val="20"/>
          <w:szCs w:val="20"/>
        </w:rPr>
        <w:t>not be made until</w:t>
      </w:r>
      <w:r>
        <w:rPr>
          <w:rFonts w:hint="eastAsia" w:ascii="Times New Roman" w:hAnsi="Times New Roman"/>
          <w:sz w:val="20"/>
          <w:szCs w:val="20"/>
        </w:rPr>
        <w:t xml:space="preserve"> more inputs from other working groups</w:t>
      </w:r>
      <w:r>
        <w:rPr>
          <w:rFonts w:ascii="Times New Roman" w:hAnsi="Times New Roman"/>
          <w:sz w:val="20"/>
          <w:szCs w:val="20"/>
        </w:rPr>
        <w:t xml:space="preserve"> are available</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The target positioning requirements for Rel-17 should adopt following suggestions,</w:t>
      </w:r>
    </w:p>
    <w:p>
      <w:pPr>
        <w:numPr>
          <w:ilvl w:val="0"/>
          <w:numId w:val="5"/>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T</w:t>
      </w:r>
      <w:r>
        <w:rPr>
          <w:rFonts w:ascii="Times New Roman" w:hAnsi="Times New Roman"/>
          <w:i/>
          <w:iCs/>
          <w:sz w:val="20"/>
          <w:szCs w:val="20"/>
        </w:rPr>
        <w:t>he target percentile of UEs required to meet the position accuracy requirement</w:t>
      </w:r>
      <w:r>
        <w:rPr>
          <w:rFonts w:hint="eastAsia" w:ascii="Times New Roman" w:hAnsi="Times New Roman"/>
          <w:i/>
          <w:iCs/>
          <w:sz w:val="20"/>
          <w:szCs w:val="20"/>
        </w:rPr>
        <w:t xml:space="preserve"> is 90%.</w:t>
      </w:r>
    </w:p>
    <w:p>
      <w:pPr>
        <w:numPr>
          <w:ilvl w:val="0"/>
          <w:numId w:val="5"/>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Vertical position accuracy</w:t>
      </w:r>
      <w:r>
        <w:rPr>
          <w:rFonts w:hint="eastAsia" w:ascii="Times New Roman" w:hAnsi="Times New Roman"/>
          <w:i/>
          <w:iCs/>
          <w:sz w:val="20"/>
          <w:szCs w:val="20"/>
        </w:rPr>
        <w:t xml:space="preserve"> for commercial use cases is 3</w:t>
      </w:r>
      <w:r>
        <w:rPr>
          <w:rFonts w:hint="eastAsia" w:ascii="Times New Roman" w:hAnsi="Times New Roman"/>
          <w:i/>
          <w:iCs/>
          <w:sz w:val="20"/>
          <w:szCs w:val="20"/>
          <w:lang w:val="en-US" w:eastAsia="zh-CN"/>
        </w:rPr>
        <w:t xml:space="preserve"> </w:t>
      </w:r>
      <w:r>
        <w:rPr>
          <w:rFonts w:hint="eastAsia" w:ascii="Times New Roman" w:hAnsi="Times New Roman"/>
          <w:i/>
          <w:iCs/>
          <w:sz w:val="20"/>
          <w:szCs w:val="20"/>
        </w:rPr>
        <w:t>m.</w:t>
      </w:r>
    </w:p>
    <w:p>
      <w:pPr>
        <w:numPr>
          <w:ilvl w:val="0"/>
          <w:numId w:val="5"/>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D</w:t>
      </w:r>
      <w:r>
        <w:rPr>
          <w:rFonts w:ascii="Times New Roman" w:hAnsi="Times New Roman"/>
          <w:i/>
          <w:iCs/>
          <w:sz w:val="20"/>
          <w:szCs w:val="20"/>
        </w:rPr>
        <w:t>ifferent IIOT channels have different position accuracy requirements</w:t>
      </w:r>
      <w:r>
        <w:rPr>
          <w:rFonts w:hint="eastAsia" w:ascii="Times New Roman" w:hAnsi="Times New Roman"/>
          <w:i/>
          <w:iCs/>
          <w:sz w:val="20"/>
          <w:szCs w:val="20"/>
        </w:rPr>
        <w:t>, e.g. X=0.5 and Y=1 for InF-SH channel and X=0.5 and Y=1 for InF-DH channel.</w:t>
      </w:r>
    </w:p>
    <w:p>
      <w:pPr>
        <w:numPr>
          <w:ilvl w:val="0"/>
          <w:numId w:val="5"/>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W</w:t>
      </w:r>
      <w:r>
        <w:rPr>
          <w:rFonts w:hint="eastAsia" w:ascii="Times New Roman" w:hAnsi="Times New Roman"/>
          <w:i/>
          <w:iCs/>
          <w:sz w:val="20"/>
          <w:szCs w:val="20"/>
        </w:rPr>
        <w:t>ait for more inputs from other working groups</w:t>
      </w:r>
      <w:r>
        <w:rPr>
          <w:rFonts w:ascii="Times New Roman" w:hAnsi="Times New Roman"/>
          <w:i/>
          <w:iCs/>
          <w:sz w:val="20"/>
          <w:szCs w:val="20"/>
        </w:rPr>
        <w:t xml:space="preserve"> to decide the latency requirement</w:t>
      </w:r>
      <w:r>
        <w:rPr>
          <w:rFonts w:hint="eastAsia" w:ascii="Times New Roman" w:hAnsi="Times New Roman"/>
          <w:i/>
          <w:iCs/>
          <w:sz w:val="20"/>
          <w:szCs w:val="20"/>
        </w:rPr>
        <w:t>.</w:t>
      </w:r>
    </w:p>
    <w:p>
      <w:pPr>
        <w:snapToGrid w:val="0"/>
        <w:spacing w:before="180" w:beforeLines="50" w:after="180" w:afterLines="50" w:line="240" w:lineRule="auto"/>
        <w:jc w:val="both"/>
        <w:rPr>
          <w:rFonts w:ascii="Times New Roman" w:hAnsi="Times New Roman"/>
          <w:b/>
          <w:bCs/>
          <w:sz w:val="20"/>
          <w:szCs w:val="20"/>
          <w:u w:val="single"/>
        </w:rPr>
      </w:pPr>
      <w:r>
        <w:rPr>
          <w:rFonts w:hint="eastAsia" w:ascii="Times New Roman" w:hAnsi="Times New Roman"/>
          <w:b/>
          <w:bCs/>
          <w:sz w:val="20"/>
          <w:szCs w:val="20"/>
          <w:u w:val="single"/>
        </w:rPr>
        <w:t>Issue#2: network efficiency and UE efficiency</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last meeting, network efficiency and UE efficiency ha</w:t>
      </w:r>
      <w:r>
        <w:rPr>
          <w:rFonts w:ascii="Times New Roman" w:hAnsi="Times New Roman"/>
          <w:sz w:val="20"/>
          <w:szCs w:val="20"/>
        </w:rPr>
        <w:t>ve</w:t>
      </w:r>
      <w:r>
        <w:rPr>
          <w:rFonts w:hint="eastAsia" w:ascii="Times New Roman" w:hAnsi="Times New Roman"/>
          <w:sz w:val="20"/>
          <w:szCs w:val="20"/>
        </w:rPr>
        <w:t xml:space="preserve"> been discussed and come to an agreement in the following,</w:t>
      </w:r>
    </w:p>
    <w:tbl>
      <w:tblPr>
        <w:tblStyle w:val="24"/>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spacing w:before="180" w:beforeLines="50" w:after="180" w:afterLines="50" w:line="20" w:lineRule="atLeast"/>
              <w:rPr>
                <w:rFonts w:ascii="Times New Roman" w:hAnsi="Times New Roman" w:eastAsia="宋体"/>
                <w:sz w:val="20"/>
                <w:szCs w:val="20"/>
              </w:rPr>
            </w:pPr>
            <w:r>
              <w:rPr>
                <w:rFonts w:ascii="Times New Roman" w:hAnsi="Times New Roman" w:eastAsia="宋体"/>
                <w:sz w:val="20"/>
                <w:szCs w:val="20"/>
              </w:rPr>
              <w:t>Network efficiency and UE efficiency can be evaluated at least in an analytical manner.</w:t>
            </w:r>
          </w:p>
          <w:p>
            <w:pPr>
              <w:numPr>
                <w:ilvl w:val="0"/>
                <w:numId w:val="6"/>
              </w:numPr>
              <w:spacing w:before="180" w:beforeLines="50" w:after="180" w:afterLines="50" w:line="20" w:lineRule="atLeast"/>
              <w:rPr>
                <w:rFonts w:ascii="Times New Roman" w:hAnsi="Times New Roman" w:eastAsia="宋体"/>
                <w:sz w:val="20"/>
                <w:szCs w:val="20"/>
              </w:rPr>
            </w:pPr>
            <w:r>
              <w:rPr>
                <w:rFonts w:ascii="Times New Roman" w:hAnsi="Times New Roman" w:eastAsia="宋体"/>
                <w:sz w:val="20"/>
                <w:szCs w:val="20"/>
              </w:rPr>
              <w:t xml:space="preserve">FFS: the definition of efficiency metric (e.g., the positioning performance (accuracy, latency) vs. PRS/SRS </w:t>
            </w:r>
            <w:r>
              <w:rPr>
                <w:rFonts w:ascii="Times New Roman" w:hAnsi="Times New Roman" w:eastAsia="Times New Roman" w:cs="Calibri"/>
                <w:sz w:val="20"/>
                <w:szCs w:val="20"/>
              </w:rPr>
              <w:t xml:space="preserve">resource utilization </w:t>
            </w:r>
            <w:r>
              <w:rPr>
                <w:rFonts w:ascii="Times New Roman" w:hAnsi="Times New Roman" w:eastAsia="Malgun Gothic" w:cs="Calibri"/>
                <w:sz w:val="20"/>
                <w:szCs w:val="20"/>
                <w:lang w:eastAsia="ko-KR"/>
              </w:rPr>
              <w:t>etc.)</w:t>
            </w:r>
          </w:p>
          <w:p>
            <w:pPr>
              <w:numPr>
                <w:ilvl w:val="0"/>
                <w:numId w:val="6"/>
              </w:numPr>
              <w:spacing w:before="180" w:beforeLines="50" w:after="180" w:afterLines="50" w:line="20" w:lineRule="atLeast"/>
              <w:rPr>
                <w:rFonts w:ascii="Times New Roman" w:hAnsi="Times New Roman"/>
                <w:sz w:val="20"/>
                <w:szCs w:val="20"/>
              </w:rPr>
            </w:pPr>
            <w:r>
              <w:rPr>
                <w:rFonts w:ascii="Times New Roman" w:hAnsi="Times New Roman" w:eastAsia="宋体"/>
                <w:sz w:val="20"/>
                <w:szCs w:val="20"/>
              </w:rPr>
              <w:t>Note: It will be up to each company on whether to use other methods (e.g., numerical simulation) for the evaluation.</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However, the definition of efficiency metric is still a pending issue. From our view, RS overhead </w:t>
      </w:r>
      <w:r>
        <w:rPr>
          <w:rFonts w:ascii="Times New Roman" w:hAnsi="Times New Roman"/>
          <w:sz w:val="20"/>
          <w:szCs w:val="20"/>
        </w:rPr>
        <w:t xml:space="preserve">should be a critical factor considered for </w:t>
      </w:r>
      <w:r>
        <w:rPr>
          <w:rFonts w:hint="eastAsia" w:ascii="Times New Roman" w:hAnsi="Times New Roman"/>
          <w:sz w:val="20"/>
          <w:szCs w:val="20"/>
        </w:rPr>
        <w:t xml:space="preserve">network efficiency. For example, a positioning node may be configured a periodical DL PRS resource set with T ms periodicity. The RS overhead should take into account all resources used in the window. The window can be </w:t>
      </w:r>
      <w:r>
        <w:rPr>
          <w:rFonts w:ascii="Times New Roman" w:hAnsi="Times New Roman"/>
          <w:sz w:val="20"/>
          <w:szCs w:val="20"/>
        </w:rPr>
        <w:t>one</w:t>
      </w:r>
      <w:r>
        <w:rPr>
          <w:rFonts w:hint="eastAsia" w:ascii="Times New Roman" w:hAnsi="Times New Roman"/>
          <w:sz w:val="20"/>
          <w:szCs w:val="20"/>
        </w:rPr>
        <w:t xml:space="preserve"> periodicity or multiple periodicities. Therefore, the resource utilization within the window can be a metric for network efficiency, where the resource utilization should consider the number of resources within the DL PRS resource set, bandwidth, comb size, number of symbols per resources, repetition number per resource</w:t>
      </w:r>
      <w:r>
        <w:rPr>
          <w:rFonts w:ascii="Times New Roman" w:hAnsi="Times New Roman"/>
          <w:sz w:val="20"/>
          <w:szCs w:val="20"/>
        </w:rPr>
        <w:t>, etc.</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Similarly, the number of total resource that UE need</w:t>
      </w:r>
      <w:r>
        <w:rPr>
          <w:rFonts w:ascii="Times New Roman" w:hAnsi="Times New Roman"/>
          <w:sz w:val="20"/>
          <w:szCs w:val="20"/>
        </w:rPr>
        <w:t>s</w:t>
      </w:r>
      <w:r>
        <w:rPr>
          <w:rFonts w:hint="eastAsia" w:ascii="Times New Roman" w:hAnsi="Times New Roman"/>
          <w:sz w:val="20"/>
          <w:szCs w:val="20"/>
        </w:rPr>
        <w:t xml:space="preserve"> to process within a window can be a metric for UE efficiency. In addition to that, UE may also be required to process more than one positioning nodes and more than one positioning frequency layers.</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RS overhead </w:t>
      </w:r>
      <w:r>
        <w:rPr>
          <w:rFonts w:ascii="Times New Roman" w:hAnsi="Times New Roman"/>
          <w:i/>
          <w:iCs/>
          <w:sz w:val="20"/>
          <w:szCs w:val="20"/>
        </w:rPr>
        <w:t xml:space="preserve">should be a critical factor considered for </w:t>
      </w:r>
      <w:r>
        <w:rPr>
          <w:rFonts w:hint="eastAsia" w:ascii="Times New Roman" w:hAnsi="Times New Roman"/>
          <w:i/>
          <w:iCs/>
          <w:sz w:val="20"/>
          <w:szCs w:val="20"/>
        </w:rPr>
        <w:t>network efficiency. Similarly, the number of total resource that UE need to process within a window can be a metric for UE efficiency.</w:t>
      </w:r>
    </w:p>
    <w:p>
      <w:pPr>
        <w:snapToGrid w:val="0"/>
        <w:spacing w:before="180" w:beforeLines="50" w:after="180" w:afterLines="50" w:line="240" w:lineRule="auto"/>
        <w:jc w:val="both"/>
        <w:rPr>
          <w:rFonts w:ascii="Times New Roman" w:hAnsi="Times New Roman"/>
          <w:b/>
          <w:bCs/>
          <w:sz w:val="20"/>
          <w:szCs w:val="20"/>
          <w:u w:val="single"/>
        </w:rPr>
      </w:pPr>
      <w:r>
        <w:rPr>
          <w:rFonts w:hint="eastAsia" w:ascii="Times New Roman" w:hAnsi="Times New Roman"/>
          <w:b/>
          <w:bCs/>
          <w:sz w:val="20"/>
          <w:szCs w:val="20"/>
          <w:u w:val="single"/>
        </w:rPr>
        <w:t>Issue#3: UE/gNB RX and TX timing error</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Some companies proposed to model UE/gNB RX and TX timing error as following,</w:t>
      </w:r>
    </w:p>
    <w:tbl>
      <w:tblPr>
        <w:tblStyle w:val="24"/>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spacing w:before="180" w:beforeLines="50" w:after="180" w:afterLines="50" w:line="20" w:lineRule="atLeast"/>
              <w:rPr>
                <w:rFonts w:ascii="Times New Roman" w:hAnsi="Times New Roman" w:eastAsia="宋体"/>
                <w:sz w:val="20"/>
                <w:szCs w:val="20"/>
              </w:rPr>
            </w:pPr>
            <w:r>
              <w:rPr>
                <w:rFonts w:ascii="Times New Roman" w:hAnsi="Times New Roman" w:eastAsia="宋体"/>
                <w:sz w:val="20"/>
                <w:szCs w:val="20"/>
              </w:rPr>
              <w:t>Optional: The UE/gNB RX and TX timing error, in FR1/FR2, can be modeled as a truncated Gaussian distribution with zero mean and standard deviation of T1 ns, with truncation of the distribution to the [-T2, T2] range, and with T2=2*T1:</w:t>
            </w:r>
          </w:p>
          <w:p>
            <w:pPr>
              <w:numPr>
                <w:ilvl w:val="0"/>
                <w:numId w:val="3"/>
              </w:numPr>
              <w:spacing w:before="180" w:beforeLines="50" w:after="180" w:afterLines="50" w:line="20" w:lineRule="atLeast"/>
              <w:ind w:left="360"/>
              <w:rPr>
                <w:rFonts w:ascii="Times New Roman" w:hAnsi="Times New Roman" w:eastAsia="宋体"/>
                <w:sz w:val="20"/>
                <w:szCs w:val="20"/>
              </w:rPr>
            </w:pPr>
            <w:r>
              <w:rPr>
                <w:rFonts w:ascii="Times New Roman" w:hAnsi="Times New Roman" w:eastAsia="宋体"/>
                <w:sz w:val="20"/>
                <w:szCs w:val="20"/>
              </w:rPr>
              <w:t xml:space="preserve">T1:  [X] ns for gNB and [Y] ns for UE </w:t>
            </w:r>
          </w:p>
          <w:p>
            <w:pPr>
              <w:numPr>
                <w:ilvl w:val="0"/>
                <w:numId w:val="7"/>
              </w:numPr>
              <w:spacing w:before="180" w:beforeLines="50" w:after="180" w:afterLines="50" w:line="20" w:lineRule="atLeast"/>
              <w:rPr>
                <w:rFonts w:ascii="Times" w:hAnsi="Times" w:eastAsia="宋体" w:cs="Arial"/>
                <w:sz w:val="20"/>
                <w:szCs w:val="20"/>
                <w:lang w:eastAsia="en-US"/>
              </w:rPr>
            </w:pPr>
            <w:r>
              <w:rPr>
                <w:rFonts w:ascii="Times New Roman" w:hAnsi="Times New Roman" w:eastAsia="宋体" w:cs="Arial"/>
                <w:sz w:val="20"/>
                <w:szCs w:val="20"/>
              </w:rPr>
              <w:t>FFS: X, Y</w:t>
            </w:r>
          </w:p>
          <w:p>
            <w:pPr>
              <w:numPr>
                <w:ilvl w:val="0"/>
                <w:numId w:val="3"/>
              </w:numPr>
              <w:spacing w:before="180" w:beforeLines="50" w:after="180" w:afterLines="50" w:line="20" w:lineRule="atLeast"/>
              <w:ind w:left="360"/>
              <w:rPr>
                <w:rFonts w:ascii="Times New Roman" w:hAnsi="Times New Roman" w:eastAsia="宋体"/>
                <w:sz w:val="20"/>
                <w:szCs w:val="20"/>
              </w:rPr>
            </w:pPr>
            <w:r>
              <w:rPr>
                <w:rFonts w:ascii="Times New Roman" w:hAnsi="Times New Roman" w:eastAsia="宋体"/>
                <w:sz w:val="20"/>
                <w:szCs w:val="20"/>
              </w:rPr>
              <w:t>Note: RX and TX timing errors are generated per panel independently</w:t>
            </w:r>
          </w:p>
          <w:p>
            <w:pPr>
              <w:numPr>
                <w:ilvl w:val="0"/>
                <w:numId w:val="3"/>
              </w:numPr>
              <w:spacing w:before="180" w:beforeLines="50" w:after="180" w:afterLines="50" w:line="20" w:lineRule="atLeast"/>
              <w:ind w:left="360"/>
              <w:rPr>
                <w:rFonts w:ascii="Times New Roman" w:hAnsi="Times New Roman"/>
                <w:sz w:val="20"/>
                <w:szCs w:val="20"/>
              </w:rPr>
            </w:pPr>
            <w:r>
              <w:rPr>
                <w:rFonts w:ascii="Times New Roman" w:hAnsi="Times New Roman" w:eastAsia="宋体"/>
                <w:sz w:val="20"/>
                <w:szCs w:val="20"/>
              </w:rPr>
              <w:t>FFS: how the Rx and Tx timing errors are applied  </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Regarding how to apply UE RX and TX timing error, it should be different for single panel and multiple panels. </w:t>
      </w:r>
    </w:p>
    <w:p>
      <w:pPr>
        <w:numPr>
          <w:ilvl w:val="0"/>
          <w:numId w:val="8"/>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single panel use case,</w:t>
      </w:r>
      <w:r>
        <w:rPr>
          <w:rFonts w:ascii="Times New Roman" w:hAnsi="Times New Roman"/>
          <w:sz w:val="20"/>
          <w:szCs w:val="20"/>
        </w:rPr>
        <w:t xml:space="preserve"> </w:t>
      </w:r>
      <w:r>
        <w:rPr>
          <w:rFonts w:hint="eastAsia" w:ascii="Times New Roman" w:hAnsi="Times New Roman"/>
          <w:sz w:val="20"/>
          <w:szCs w:val="20"/>
        </w:rPr>
        <w:t xml:space="preserve">UE </w:t>
      </w:r>
      <w:r>
        <w:rPr>
          <w:rFonts w:ascii="Times New Roman" w:hAnsi="Times New Roman" w:eastAsia="宋体"/>
          <w:sz w:val="20"/>
          <w:szCs w:val="20"/>
        </w:rPr>
        <w:t xml:space="preserve">RX and TX timing </w:t>
      </w:r>
      <w:r>
        <w:rPr>
          <w:rFonts w:hint="eastAsia" w:ascii="Times New Roman" w:hAnsi="Times New Roman"/>
          <w:sz w:val="20"/>
          <w:szCs w:val="20"/>
        </w:rPr>
        <w:t xml:space="preserve">error will not have impact on RSTD measurements on UE side since the timing error will be canceled during measurements. But the error may impact UE Rx-Tx measurements, so the error will be generated randomly per UE, which will be added on UE Rx-Tx measurement. </w:t>
      </w:r>
    </w:p>
    <w:p>
      <w:pPr>
        <w:numPr>
          <w:ilvl w:val="0"/>
          <w:numId w:val="9"/>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multiple panels use case, depending on which panels are used for measurements, UE Rx-Tx and RSTD measurements may all get impacted by the different timing errors in the different UE panels. Therefore, UE </w:t>
      </w:r>
      <w:r>
        <w:rPr>
          <w:rFonts w:ascii="Times New Roman" w:hAnsi="Times New Roman" w:eastAsia="宋体"/>
          <w:sz w:val="20"/>
          <w:szCs w:val="20"/>
        </w:rPr>
        <w:t xml:space="preserve">RX and TX timing </w:t>
      </w:r>
      <w:r>
        <w:rPr>
          <w:rFonts w:hint="eastAsia" w:ascii="Times New Roman" w:hAnsi="Times New Roman"/>
          <w:sz w:val="20"/>
          <w:szCs w:val="20"/>
        </w:rPr>
        <w:t xml:space="preserve">error will be generated randomly per panel per UE. </w:t>
      </w:r>
    </w:p>
    <w:p>
      <w:pPr>
        <w:numPr>
          <w:ilvl w:val="0"/>
          <w:numId w:val="9"/>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gNB side, gNB</w:t>
      </w:r>
      <w:r>
        <w:rPr>
          <w:rFonts w:ascii="Times New Roman" w:hAnsi="Times New Roman"/>
          <w:sz w:val="20"/>
          <w:szCs w:val="20"/>
        </w:rPr>
        <w:t xml:space="preserve"> RX and TX timing error </w:t>
      </w:r>
      <w:r>
        <w:rPr>
          <w:rFonts w:hint="eastAsia" w:ascii="Times New Roman" w:hAnsi="Times New Roman"/>
          <w:sz w:val="20"/>
          <w:szCs w:val="20"/>
        </w:rPr>
        <w:t>will impact both RSTD measurements and UE/gNB Rx-Tx measurements. The error should be generated randomly per gNB, all timing measurements on gNB side will be added the error according to the corresponding gNB.</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3:</w:t>
      </w:r>
      <w:r>
        <w:rPr>
          <w:rFonts w:hint="eastAsia" w:ascii="Times New Roman" w:hAnsi="Times New Roman"/>
          <w:i/>
          <w:iCs/>
          <w:sz w:val="20"/>
          <w:szCs w:val="20"/>
        </w:rPr>
        <w:t xml:space="preserve"> On how to apply UE/gNB RX and TX timing error,</w:t>
      </w:r>
    </w:p>
    <w:p>
      <w:pPr>
        <w:numPr>
          <w:ilvl w:val="0"/>
          <w:numId w:val="1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UE RX and TX timing error will be generated randomly per UE</w:t>
      </w:r>
      <w:r>
        <w:rPr>
          <w:rFonts w:hint="eastAsia" w:ascii="Times New Roman" w:hAnsi="Times New Roman"/>
          <w:i/>
          <w:iCs/>
          <w:sz w:val="20"/>
          <w:szCs w:val="20"/>
        </w:rPr>
        <w:t xml:space="preserve"> in single panel use case, which will be added on UE Rx-Tx measurement. </w:t>
      </w:r>
    </w:p>
    <w:p>
      <w:pPr>
        <w:numPr>
          <w:ilvl w:val="0"/>
          <w:numId w:val="10"/>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UE </w:t>
      </w:r>
      <w:r>
        <w:rPr>
          <w:rFonts w:ascii="Times New Roman" w:hAnsi="Times New Roman" w:eastAsia="宋体"/>
          <w:i/>
          <w:iCs/>
          <w:sz w:val="20"/>
          <w:szCs w:val="20"/>
        </w:rPr>
        <w:t xml:space="preserve">RX and TX timing </w:t>
      </w:r>
      <w:r>
        <w:rPr>
          <w:rFonts w:hint="eastAsia" w:ascii="Times New Roman" w:hAnsi="Times New Roman"/>
          <w:i/>
          <w:iCs/>
          <w:sz w:val="20"/>
          <w:szCs w:val="20"/>
        </w:rPr>
        <w:t>error will be generated randomly per panel per UE in multiple panels use case, both UE Rx-Tx and RSTD measurements should take into account the error in simulation.</w:t>
      </w:r>
    </w:p>
    <w:p>
      <w:pPr>
        <w:numPr>
          <w:ilvl w:val="0"/>
          <w:numId w:val="1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gNB RX and TX timing error should be generated randomly per gNB, all timing measurements on gNB side will be added the error according to the corresponding gNB.</w:t>
      </w:r>
    </w:p>
    <w:p>
      <w:pPr>
        <w:snapToGrid w:val="0"/>
        <w:spacing w:before="180" w:beforeLines="50" w:after="180" w:afterLines="50" w:line="20" w:lineRule="atLeast"/>
        <w:jc w:val="both"/>
        <w:rPr>
          <w:rFonts w:ascii="Times New Roman" w:hAnsi="Times New Roman"/>
          <w:b/>
          <w:bCs/>
          <w:sz w:val="20"/>
          <w:szCs w:val="20"/>
          <w:u w:val="single"/>
        </w:rPr>
      </w:pPr>
      <w:r>
        <w:rPr>
          <w:rFonts w:hint="eastAsia" w:ascii="Times New Roman" w:hAnsi="Times New Roman"/>
          <w:b/>
          <w:bCs/>
          <w:sz w:val="20"/>
          <w:szCs w:val="20"/>
          <w:u w:val="single"/>
        </w:rPr>
        <w:t>Issue#4: excess delay for commercial use cases</w:t>
      </w:r>
    </w:p>
    <w:tbl>
      <w:tblPr>
        <w:tblStyle w:val="24"/>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numPr>
                <w:ilvl w:val="0"/>
                <w:numId w:val="11"/>
              </w:numPr>
              <w:spacing w:before="180" w:beforeLines="50" w:after="180" w:afterLines="50" w:line="20" w:lineRule="atLeast"/>
              <w:rPr>
                <w:rFonts w:ascii="Times New Roman" w:hAnsi="Times New Roman" w:eastAsia="宋体"/>
                <w:sz w:val="20"/>
                <w:szCs w:val="20"/>
              </w:rPr>
            </w:pPr>
            <w:r>
              <w:rPr>
                <w:rFonts w:ascii="Times New Roman" w:hAnsi="Times New Roman" w:eastAsia="宋体"/>
                <w:sz w:val="20"/>
                <w:szCs w:val="20"/>
              </w:rPr>
              <w:t xml:space="preserve">In Rel-17 SI, for the evaluation of positioning enhancements for commercial use cases, no baseline scenario is defined. UMi, UMa and IOO scenario(s) defined in TR 38.855 can be considered as optional scenarios without modifications to existing configuration parameters. </w:t>
            </w:r>
          </w:p>
          <w:p>
            <w:pPr>
              <w:numPr>
                <w:ilvl w:val="0"/>
                <w:numId w:val="11"/>
              </w:numPr>
              <w:spacing w:before="180" w:beforeLines="50" w:after="180" w:afterLines="50" w:line="20" w:lineRule="atLeast"/>
              <w:rPr>
                <w:rFonts w:ascii="Times New Roman" w:hAnsi="Times New Roman"/>
                <w:sz w:val="20"/>
                <w:szCs w:val="20"/>
              </w:rPr>
            </w:pPr>
            <w:r>
              <w:rPr>
                <w:rFonts w:ascii="Times New Roman" w:hAnsi="Times New Roman" w:eastAsia="宋体"/>
                <w:sz w:val="20"/>
                <w:szCs w:val="20"/>
              </w:rPr>
              <w:t>FFS: absolute time of arrival model for UMi, UMa and IOO scenarios</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As we all know, UMi, UMa and IOO scenarios have been evaluated during Rel-16 SI phase. However, the evaluations didn</w:t>
      </w:r>
      <w:r>
        <w:rPr>
          <w:rFonts w:ascii="Times New Roman" w:hAnsi="Times New Roman"/>
          <w:sz w:val="20"/>
          <w:szCs w:val="20"/>
        </w:rPr>
        <w:t>’</w:t>
      </w:r>
      <w:r>
        <w:rPr>
          <w:rFonts w:hint="eastAsia" w:ascii="Times New Roman" w:hAnsi="Times New Roman"/>
          <w:sz w:val="20"/>
          <w:szCs w:val="20"/>
        </w:rPr>
        <w:t>t consider the excess delay for the above scenarios. Similar to IIOT use cases, commercial use cases should also include the excess delay in channel model in order to research performance gap in Rel-17. Some basic assumptions in table 1 have been approved in previous discussion. Furthermore, absolute time of arrival model for IIOT channel has already</w:t>
      </w:r>
      <w:r>
        <w:rPr>
          <w:rFonts w:ascii="Times New Roman" w:hAnsi="Times New Roman"/>
          <w:sz w:val="20"/>
          <w:szCs w:val="20"/>
        </w:rPr>
        <w:t xml:space="preserve"> been</w:t>
      </w:r>
      <w:r>
        <w:rPr>
          <w:rFonts w:hint="eastAsia" w:ascii="Times New Roman" w:hAnsi="Times New Roman"/>
          <w:sz w:val="20"/>
          <w:szCs w:val="20"/>
        </w:rPr>
        <w:t xml:space="preserve"> defined in table 7.6.9-1 of TR 38.901.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Therefore, the excess delay of NLOS for UMi, UMa and IOO scenarios can base on basic assumptions of corresponding scenario and the absolute time of arrival model for IIOT. It</w:t>
      </w:r>
      <w:r>
        <w:rPr>
          <w:rFonts w:ascii="Times New Roman" w:hAnsi="Times New Roman"/>
          <w:sz w:val="20"/>
          <w:szCs w:val="20"/>
        </w:rPr>
        <w:t>’</w:t>
      </w:r>
      <w:r>
        <w:rPr>
          <w:rFonts w:hint="eastAsia" w:ascii="Times New Roman" w:hAnsi="Times New Roman"/>
          <w:sz w:val="20"/>
          <w:szCs w:val="20"/>
        </w:rPr>
        <w:t xml:space="preserve">s obvious that the excess delay of NLOS will depend on UE antenna height, gNB antenna height, ISD and room size. Due to the similar UE antenna height and gNB antenna height for all scenarios, excess delay of NLOS can only take into account of ISD for simplicity. </w:t>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Table 1 some basic assumptions for UMi, UMa, IOO and IIOT</w:t>
      </w:r>
    </w:p>
    <w:tbl>
      <w:tblPr>
        <w:tblStyle w:val="24"/>
        <w:tblW w:w="85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1251"/>
        <w:gridCol w:w="1862"/>
        <w:gridCol w:w="1221"/>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3" w:hRule="atLeast"/>
          <w:jc w:val="center"/>
        </w:trPr>
        <w:tc>
          <w:tcPr>
            <w:tcW w:w="1743" w:type="dxa"/>
            <w:shd w:val="clear" w:color="auto" w:fill="F1F1F1" w:themeFill="background1" w:themeFillShade="F2"/>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Scenarios</w:t>
            </w:r>
          </w:p>
        </w:tc>
        <w:tc>
          <w:tcPr>
            <w:tcW w:w="1251" w:type="dxa"/>
            <w:shd w:val="clear" w:color="auto" w:fill="F1F1F1" w:themeFill="background1" w:themeFillShade="F2"/>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UE antenna height</w:t>
            </w:r>
          </w:p>
        </w:tc>
        <w:tc>
          <w:tcPr>
            <w:tcW w:w="1862" w:type="dxa"/>
            <w:shd w:val="clear" w:color="auto" w:fill="F1F1F1" w:themeFill="background1" w:themeFillShade="F2"/>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gNB antenna height</w:t>
            </w:r>
          </w:p>
        </w:tc>
        <w:tc>
          <w:tcPr>
            <w:tcW w:w="1221" w:type="dxa"/>
            <w:shd w:val="clear" w:color="auto" w:fill="F1F1F1" w:themeFill="background1" w:themeFillShade="F2"/>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ISD</w:t>
            </w:r>
          </w:p>
        </w:tc>
        <w:tc>
          <w:tcPr>
            <w:tcW w:w="2463" w:type="dxa"/>
            <w:shd w:val="clear" w:color="auto" w:fill="F1F1F1" w:themeFill="background1" w:themeFillShade="F2"/>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BS number and room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1743"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UMi</w:t>
            </w:r>
          </w:p>
        </w:tc>
        <w:tc>
          <w:tcPr>
            <w:tcW w:w="1251"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1.5</w:t>
            </w:r>
            <w:r>
              <w:rPr>
                <w:rFonts w:hint="eastAsia" w:ascii="Times New Roman" w:hAnsi="Times New Roman"/>
                <w:sz w:val="20"/>
                <w:szCs w:val="20"/>
                <w:lang w:val="en-US" w:eastAsia="zh-CN"/>
              </w:rPr>
              <w:t xml:space="preserve"> </w:t>
            </w:r>
            <w:r>
              <w:rPr>
                <w:rFonts w:hint="eastAsia" w:ascii="Times New Roman" w:hAnsi="Times New Roman"/>
                <w:sz w:val="20"/>
                <w:szCs w:val="20"/>
              </w:rPr>
              <w:t>m</w:t>
            </w:r>
          </w:p>
        </w:tc>
        <w:tc>
          <w:tcPr>
            <w:tcW w:w="1862"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10 m</w:t>
            </w:r>
          </w:p>
        </w:tc>
        <w:tc>
          <w:tcPr>
            <w:tcW w:w="1221"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200</w:t>
            </w:r>
            <w:r>
              <w:rPr>
                <w:rFonts w:hint="eastAsia" w:ascii="Times New Roman" w:hAnsi="Times New Roman"/>
                <w:sz w:val="20"/>
                <w:szCs w:val="20"/>
                <w:lang w:val="en-US" w:eastAsia="zh-CN"/>
              </w:rPr>
              <w:t xml:space="preserve"> </w:t>
            </w:r>
            <w:r>
              <w:rPr>
                <w:rFonts w:hint="eastAsia" w:ascii="Times New Roman" w:hAnsi="Times New Roman"/>
                <w:sz w:val="20"/>
                <w:szCs w:val="20"/>
              </w:rPr>
              <w:t>m,</w:t>
            </w:r>
          </w:p>
        </w:tc>
        <w:tc>
          <w:tcPr>
            <w:tcW w:w="2463"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19 or 7 macro sites, 3 sectors per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3" w:hRule="atLeast"/>
          <w:jc w:val="center"/>
        </w:trPr>
        <w:tc>
          <w:tcPr>
            <w:tcW w:w="1743"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UMa</w:t>
            </w:r>
          </w:p>
        </w:tc>
        <w:tc>
          <w:tcPr>
            <w:tcW w:w="1251"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1.5 m</w:t>
            </w:r>
          </w:p>
        </w:tc>
        <w:tc>
          <w:tcPr>
            <w:tcW w:w="1862"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Uniformly distributed [20-50] m</w:t>
            </w:r>
          </w:p>
        </w:tc>
        <w:tc>
          <w:tcPr>
            <w:tcW w:w="1221"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500</w:t>
            </w:r>
            <w:r>
              <w:rPr>
                <w:rFonts w:hint="eastAsia" w:ascii="Times New Roman" w:hAnsi="Times New Roman"/>
                <w:sz w:val="20"/>
                <w:szCs w:val="20"/>
                <w:lang w:val="en-US" w:eastAsia="zh-CN"/>
              </w:rPr>
              <w:t xml:space="preserve"> </w:t>
            </w:r>
            <w:r>
              <w:rPr>
                <w:rFonts w:hint="eastAsia" w:ascii="Times New Roman" w:hAnsi="Times New Roman"/>
                <w:sz w:val="20"/>
                <w:szCs w:val="20"/>
              </w:rPr>
              <w:t>m for FR1</w:t>
            </w:r>
          </w:p>
        </w:tc>
        <w:tc>
          <w:tcPr>
            <w:tcW w:w="2463"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19 or 7 macro sites, 3 sectors per site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743"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IOO</w:t>
            </w:r>
          </w:p>
        </w:tc>
        <w:tc>
          <w:tcPr>
            <w:tcW w:w="1251"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1.5</w:t>
            </w:r>
            <w:r>
              <w:rPr>
                <w:rFonts w:hint="eastAsia" w:ascii="Times New Roman" w:hAnsi="Times New Roman"/>
                <w:sz w:val="20"/>
                <w:szCs w:val="20"/>
                <w:lang w:val="en-US" w:eastAsia="zh-CN"/>
              </w:rPr>
              <w:t xml:space="preserve"> </w:t>
            </w:r>
            <w:r>
              <w:rPr>
                <w:rFonts w:hint="eastAsia" w:ascii="Times New Roman" w:hAnsi="Times New Roman"/>
                <w:sz w:val="20"/>
                <w:szCs w:val="20"/>
              </w:rPr>
              <w:t>m</w:t>
            </w:r>
          </w:p>
        </w:tc>
        <w:tc>
          <w:tcPr>
            <w:tcW w:w="1862"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3</w:t>
            </w:r>
            <w:r>
              <w:rPr>
                <w:rFonts w:hint="eastAsia" w:ascii="Times New Roman" w:hAnsi="Times New Roman"/>
                <w:sz w:val="20"/>
                <w:szCs w:val="20"/>
                <w:lang w:val="en-US" w:eastAsia="zh-CN"/>
              </w:rPr>
              <w:t xml:space="preserve"> </w:t>
            </w:r>
            <w:r>
              <w:rPr>
                <w:rFonts w:hint="eastAsia" w:ascii="Times New Roman" w:hAnsi="Times New Roman"/>
                <w:sz w:val="20"/>
                <w:szCs w:val="20"/>
              </w:rPr>
              <w:t>m</w:t>
            </w:r>
          </w:p>
        </w:tc>
        <w:tc>
          <w:tcPr>
            <w:tcW w:w="1221"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20</w:t>
            </w:r>
            <w:r>
              <w:rPr>
                <w:rFonts w:hint="eastAsia" w:ascii="Times New Roman" w:hAnsi="Times New Roman"/>
                <w:sz w:val="20"/>
                <w:szCs w:val="20"/>
                <w:lang w:val="en-US" w:eastAsia="zh-CN"/>
              </w:rPr>
              <w:t xml:space="preserve"> </w:t>
            </w:r>
            <w:r>
              <w:rPr>
                <w:rFonts w:hint="eastAsia" w:ascii="Times New Roman" w:hAnsi="Times New Roman"/>
                <w:sz w:val="20"/>
                <w:szCs w:val="20"/>
              </w:rPr>
              <w:t>m</w:t>
            </w:r>
          </w:p>
        </w:tc>
        <w:tc>
          <w:tcPr>
            <w:tcW w:w="2463"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12</w:t>
            </w:r>
            <w:r>
              <w:rPr>
                <w:rFonts w:hint="eastAsia" w:ascii="Times New Roman" w:hAnsi="Times New Roman"/>
                <w:sz w:val="20"/>
                <w:szCs w:val="20"/>
                <w:lang w:val="en-US" w:eastAsia="zh-CN"/>
              </w:rPr>
              <w:t xml:space="preserve"> </w:t>
            </w:r>
            <w:r>
              <w:rPr>
                <w:rFonts w:hint="eastAsia" w:ascii="Times New Roman" w:hAnsi="Times New Roman"/>
                <w:sz w:val="20"/>
                <w:szCs w:val="20"/>
              </w:rPr>
              <w:t>BSs per 120m x 50</w:t>
            </w:r>
            <w:r>
              <w:rPr>
                <w:rFonts w:hint="eastAsia" w:ascii="Times New Roman" w:hAnsi="Times New Roman"/>
                <w:sz w:val="20"/>
                <w:szCs w:val="20"/>
                <w:lang w:val="en-US" w:eastAsia="zh-CN"/>
              </w:rPr>
              <w:t xml:space="preserve"> </w:t>
            </w:r>
            <w:r>
              <w:rPr>
                <w:rFonts w:hint="eastAsia" w:ascii="Times New Roman" w:hAnsi="Times New Roman"/>
                <w:sz w:val="20"/>
                <w:szCs w:val="20"/>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1743"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IIOT (InF-SH)</w:t>
            </w:r>
          </w:p>
        </w:tc>
        <w:tc>
          <w:tcPr>
            <w:tcW w:w="1251"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1.5</w:t>
            </w:r>
            <w:r>
              <w:rPr>
                <w:rFonts w:hint="eastAsia" w:ascii="Times New Roman" w:hAnsi="Times New Roman"/>
                <w:sz w:val="20"/>
                <w:szCs w:val="20"/>
                <w:lang w:val="en-US" w:eastAsia="zh-CN"/>
              </w:rPr>
              <w:t xml:space="preserve"> </w:t>
            </w:r>
            <w:r>
              <w:rPr>
                <w:rFonts w:hint="eastAsia" w:ascii="Times New Roman" w:hAnsi="Times New Roman"/>
                <w:sz w:val="20"/>
                <w:szCs w:val="20"/>
              </w:rPr>
              <w:t>m</w:t>
            </w:r>
          </w:p>
        </w:tc>
        <w:tc>
          <w:tcPr>
            <w:tcW w:w="1862"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8</w:t>
            </w:r>
            <w:r>
              <w:rPr>
                <w:rFonts w:hint="eastAsia" w:ascii="Times New Roman" w:hAnsi="Times New Roman"/>
                <w:sz w:val="20"/>
                <w:szCs w:val="20"/>
                <w:lang w:val="en-US" w:eastAsia="zh-CN"/>
              </w:rPr>
              <w:t xml:space="preserve"> </w:t>
            </w:r>
            <w:r>
              <w:rPr>
                <w:rFonts w:hint="eastAsia" w:ascii="Times New Roman" w:hAnsi="Times New Roman"/>
                <w:sz w:val="20"/>
                <w:szCs w:val="20"/>
              </w:rPr>
              <w:t>m</w:t>
            </w:r>
          </w:p>
        </w:tc>
        <w:tc>
          <w:tcPr>
            <w:tcW w:w="1221"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50</w:t>
            </w:r>
            <w:r>
              <w:rPr>
                <w:rFonts w:hint="eastAsia" w:ascii="Times New Roman" w:hAnsi="Times New Roman"/>
                <w:sz w:val="20"/>
                <w:szCs w:val="20"/>
                <w:lang w:val="en-US" w:eastAsia="zh-CN"/>
              </w:rPr>
              <w:t xml:space="preserve"> </w:t>
            </w:r>
            <w:r>
              <w:rPr>
                <w:rFonts w:hint="eastAsia" w:ascii="Times New Roman" w:hAnsi="Times New Roman"/>
                <w:sz w:val="20"/>
                <w:szCs w:val="20"/>
              </w:rPr>
              <w:t>m</w:t>
            </w:r>
          </w:p>
        </w:tc>
        <w:tc>
          <w:tcPr>
            <w:tcW w:w="2463" w:type="dxa"/>
          </w:tcPr>
          <w:p>
            <w:pPr>
              <w:snapToGrid w:val="0"/>
              <w:spacing w:after="0" w:line="20" w:lineRule="atLeast"/>
              <w:jc w:val="center"/>
              <w:rPr>
                <w:rFonts w:ascii="Times New Roman" w:hAnsi="Times New Roman"/>
                <w:sz w:val="20"/>
                <w:szCs w:val="20"/>
              </w:rPr>
            </w:pPr>
            <w:r>
              <w:rPr>
                <w:rFonts w:hint="eastAsia" w:ascii="Times New Roman" w:hAnsi="Times New Roman"/>
                <w:sz w:val="20"/>
                <w:szCs w:val="20"/>
              </w:rPr>
              <w:t>18</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BSs per </w:t>
            </w:r>
            <w:r>
              <w:rPr>
                <w:rFonts w:ascii="Times New Roman" w:hAnsi="Times New Roman"/>
                <w:sz w:val="20"/>
                <w:szCs w:val="20"/>
              </w:rPr>
              <w:t>300x150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1743" w:type="dxa"/>
          </w:tcPr>
          <w:p>
            <w:pPr>
              <w:snapToGrid w:val="0"/>
              <w:spacing w:after="0" w:line="20" w:lineRule="atLeast"/>
              <w:jc w:val="center"/>
              <w:rPr>
                <w:rFonts w:hint="default" w:ascii="Times New Roman" w:hAnsi="Times New Roman" w:eastAsiaTheme="minorEastAsia"/>
                <w:sz w:val="20"/>
                <w:szCs w:val="20"/>
                <w:lang w:val="en-US" w:eastAsia="zh-CN"/>
              </w:rPr>
            </w:pPr>
            <w:r>
              <w:rPr>
                <w:rFonts w:hint="eastAsia" w:ascii="Times New Roman" w:hAnsi="Times New Roman"/>
                <w:sz w:val="20"/>
                <w:szCs w:val="20"/>
                <w:lang w:val="en-US" w:eastAsia="zh-CN"/>
              </w:rPr>
              <w:t>IIOT (InF-SH)</w:t>
            </w:r>
          </w:p>
        </w:tc>
        <w:tc>
          <w:tcPr>
            <w:tcW w:w="1251" w:type="dxa"/>
          </w:tcPr>
          <w:p>
            <w:pPr>
              <w:snapToGrid w:val="0"/>
              <w:spacing w:after="0" w:line="20" w:lineRule="atLeast"/>
              <w:jc w:val="center"/>
              <w:rPr>
                <w:rFonts w:hint="default" w:ascii="Times New Roman" w:hAnsi="Times New Roman" w:eastAsiaTheme="minorEastAsia"/>
                <w:sz w:val="20"/>
                <w:szCs w:val="20"/>
                <w:lang w:val="en-US" w:eastAsia="zh-CN"/>
              </w:rPr>
            </w:pPr>
            <w:r>
              <w:rPr>
                <w:rFonts w:hint="eastAsia" w:ascii="Times New Roman" w:hAnsi="Times New Roman"/>
                <w:sz w:val="20"/>
                <w:szCs w:val="20"/>
                <w:lang w:val="en-US" w:eastAsia="zh-CN"/>
              </w:rPr>
              <w:t>1.5m</w:t>
            </w:r>
          </w:p>
        </w:tc>
        <w:tc>
          <w:tcPr>
            <w:tcW w:w="1862" w:type="dxa"/>
          </w:tcPr>
          <w:p>
            <w:pPr>
              <w:snapToGrid w:val="0"/>
              <w:spacing w:after="0" w:line="20" w:lineRule="atLeast"/>
              <w:jc w:val="center"/>
              <w:rPr>
                <w:rFonts w:hint="default" w:ascii="Times New Roman" w:hAnsi="Times New Roman" w:eastAsiaTheme="minorEastAsia"/>
                <w:sz w:val="20"/>
                <w:szCs w:val="20"/>
                <w:lang w:val="en-US" w:eastAsia="zh-CN"/>
              </w:rPr>
            </w:pPr>
            <w:r>
              <w:rPr>
                <w:rFonts w:hint="eastAsia" w:ascii="Times New Roman" w:hAnsi="Times New Roman"/>
                <w:sz w:val="20"/>
                <w:szCs w:val="20"/>
                <w:lang w:val="en-US" w:eastAsia="zh-CN"/>
              </w:rPr>
              <w:t>8 m</w:t>
            </w:r>
          </w:p>
        </w:tc>
        <w:tc>
          <w:tcPr>
            <w:tcW w:w="1221" w:type="dxa"/>
          </w:tcPr>
          <w:p>
            <w:pPr>
              <w:snapToGrid w:val="0"/>
              <w:spacing w:after="0" w:line="20" w:lineRule="atLeast"/>
              <w:jc w:val="center"/>
              <w:rPr>
                <w:rFonts w:hint="default" w:ascii="Times New Roman" w:hAnsi="Times New Roman" w:eastAsiaTheme="minorEastAsia"/>
                <w:sz w:val="20"/>
                <w:szCs w:val="20"/>
                <w:lang w:val="en-US" w:eastAsia="zh-CN"/>
              </w:rPr>
            </w:pPr>
            <w:r>
              <w:rPr>
                <w:rFonts w:hint="eastAsia" w:ascii="Times New Roman" w:hAnsi="Times New Roman"/>
                <w:sz w:val="20"/>
                <w:szCs w:val="20"/>
                <w:lang w:val="en-US" w:eastAsia="zh-CN"/>
              </w:rPr>
              <w:t>20 m</w:t>
            </w:r>
          </w:p>
        </w:tc>
        <w:tc>
          <w:tcPr>
            <w:tcW w:w="2463" w:type="dxa"/>
          </w:tcPr>
          <w:p>
            <w:pPr>
              <w:snapToGrid w:val="0"/>
              <w:spacing w:after="0" w:line="20" w:lineRule="atLeast"/>
              <w:jc w:val="center"/>
              <w:rPr>
                <w:rFonts w:hint="eastAsia" w:ascii="Times New Roman" w:hAnsi="Times New Roman"/>
                <w:sz w:val="20"/>
                <w:szCs w:val="20"/>
              </w:rPr>
            </w:pPr>
            <w:r>
              <w:rPr>
                <w:rFonts w:hint="eastAsia" w:ascii="Times New Roman" w:hAnsi="Times New Roman"/>
                <w:sz w:val="20"/>
                <w:szCs w:val="20"/>
              </w:rPr>
              <w:t>18BSs per</w:t>
            </w:r>
            <w:r>
              <w:rPr>
                <w:rFonts w:hint="eastAsia" w:ascii="Times New Roman" w:hAnsi="Times New Roman"/>
                <w:sz w:val="20"/>
                <w:szCs w:val="20"/>
                <w:lang w:val="en-US" w:eastAsia="zh-CN"/>
              </w:rPr>
              <w:t xml:space="preserve"> 120</w:t>
            </w:r>
            <w:r>
              <w:rPr>
                <w:rFonts w:ascii="Times New Roman" w:hAnsi="Times New Roman"/>
                <w:sz w:val="20"/>
                <w:szCs w:val="20"/>
              </w:rPr>
              <w:t>x</w:t>
            </w:r>
            <w:r>
              <w:rPr>
                <w:rFonts w:hint="eastAsia" w:ascii="Times New Roman" w:hAnsi="Times New Roman"/>
                <w:sz w:val="20"/>
                <w:szCs w:val="20"/>
                <w:lang w:val="en-US" w:eastAsia="zh-CN"/>
              </w:rPr>
              <w:t>6</w:t>
            </w:r>
            <w:r>
              <w:rPr>
                <w:rFonts w:ascii="Times New Roman" w:hAnsi="Times New Roman"/>
                <w:sz w:val="20"/>
                <w:szCs w:val="20"/>
              </w:rPr>
              <w:t>0 m</w:t>
            </w:r>
          </w:p>
        </w:tc>
      </w:tr>
    </w:tbl>
    <w:p>
      <w:pPr>
        <w:snapToGrid w:val="0"/>
        <w:spacing w:before="180" w:beforeLines="50" w:after="180" w:afterLines="50" w:line="20" w:lineRule="atLeast"/>
        <w:jc w:val="both"/>
        <w:rPr>
          <w:rFonts w:ascii="Times New Roman" w:hAnsi="Times New Roman"/>
          <w:sz w:val="20"/>
          <w:szCs w:val="20"/>
        </w:rPr>
      </w:pPr>
      <w:r>
        <w:rPr>
          <w:rFonts w:hint="eastAsia" w:ascii="Times New Roman" w:hAnsi="Times New Roman"/>
          <w:sz w:val="20"/>
          <w:szCs w:val="20"/>
        </w:rPr>
        <w:t>Overall, the absolute time of arrival model for UMi, UMa and IOO scenarios is summarized in table 2.</w:t>
      </w:r>
    </w:p>
    <w:p>
      <w:pPr>
        <w:snapToGrid w:val="0"/>
        <w:spacing w:before="180" w:beforeLines="50" w:after="180" w:afterLines="50" w:line="20" w:lineRule="atLeast"/>
        <w:jc w:val="center"/>
        <w:rPr>
          <w:rFonts w:ascii="Times New Roman" w:hAnsi="Times New Roman"/>
          <w:sz w:val="20"/>
          <w:szCs w:val="20"/>
        </w:rPr>
      </w:pPr>
      <w:r>
        <w:rPr>
          <w:rFonts w:hint="eastAsia" w:ascii="Times New Roman" w:hAnsi="Times New Roman"/>
          <w:sz w:val="20"/>
          <w:szCs w:val="20"/>
        </w:rPr>
        <w:t>Table 2 Parameters for the absolute time of arrival model</w:t>
      </w:r>
    </w:p>
    <w:tbl>
      <w:tblPr>
        <w:tblStyle w:val="23"/>
        <w:tblW w:w="71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819"/>
        <w:gridCol w:w="1655"/>
        <w:gridCol w:w="1656"/>
        <w:gridCol w:w="1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 w:hRule="atLeast"/>
          <w:jc w:val="center"/>
        </w:trPr>
        <w:tc>
          <w:tcPr>
            <w:tcW w:w="2154" w:type="dxa"/>
            <w:gridSpan w:val="2"/>
            <w:shd w:val="clear" w:color="auto" w:fill="E0E0E0"/>
            <w:vAlign w:val="center"/>
          </w:tcPr>
          <w:p>
            <w:pPr>
              <w:pStyle w:val="55"/>
              <w:rPr>
                <w:lang w:eastAsia="ko-KR"/>
              </w:rPr>
            </w:pPr>
            <w:r>
              <w:rPr>
                <w:rFonts w:hint="eastAsia"/>
                <w:lang w:eastAsia="ko-KR"/>
              </w:rPr>
              <w:t>Scenarios</w:t>
            </w:r>
          </w:p>
        </w:tc>
        <w:tc>
          <w:tcPr>
            <w:tcW w:w="1655" w:type="dxa"/>
            <w:shd w:val="clear" w:color="auto" w:fill="E0E0E0"/>
            <w:vAlign w:val="center"/>
          </w:tcPr>
          <w:p>
            <w:pPr>
              <w:pStyle w:val="55"/>
              <w:rPr>
                <w:lang w:val="en-US" w:eastAsia="zh-CN"/>
              </w:rPr>
            </w:pPr>
            <w:r>
              <w:rPr>
                <w:rFonts w:hint="eastAsia"/>
                <w:lang w:val="en-US" w:eastAsia="zh-CN"/>
              </w:rPr>
              <w:t>UMi</w:t>
            </w:r>
          </w:p>
        </w:tc>
        <w:tc>
          <w:tcPr>
            <w:tcW w:w="1656" w:type="dxa"/>
            <w:shd w:val="clear" w:color="auto" w:fill="E0E0E0"/>
            <w:vAlign w:val="center"/>
          </w:tcPr>
          <w:p>
            <w:pPr>
              <w:pStyle w:val="55"/>
              <w:rPr>
                <w:lang w:val="en-US" w:eastAsia="zh-CN"/>
              </w:rPr>
            </w:pPr>
            <w:r>
              <w:rPr>
                <w:rFonts w:hint="eastAsia"/>
                <w:lang w:val="en-US" w:eastAsia="zh-CN"/>
              </w:rPr>
              <w:t>UMa</w:t>
            </w:r>
          </w:p>
        </w:tc>
        <w:tc>
          <w:tcPr>
            <w:tcW w:w="1655" w:type="dxa"/>
            <w:shd w:val="clear" w:color="auto" w:fill="E0E0E0"/>
            <w:vAlign w:val="center"/>
          </w:tcPr>
          <w:p>
            <w:pPr>
              <w:pStyle w:val="55"/>
              <w:rPr>
                <w:lang w:val="en-US" w:eastAsia="zh-CN"/>
              </w:rPr>
            </w:pPr>
            <w:r>
              <w:rPr>
                <w:rFonts w:hint="eastAsia"/>
                <w:lang w:val="en-US" w:eastAsia="zh-CN"/>
              </w:rPr>
              <w:t>IOO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 w:hRule="atLeast"/>
          <w:jc w:val="center"/>
        </w:trPr>
        <w:tc>
          <w:tcPr>
            <w:tcW w:w="1335" w:type="dxa"/>
            <w:vMerge w:val="restart"/>
            <w:vAlign w:val="center"/>
          </w:tcPr>
          <w:p>
            <w:pPr>
              <w:pStyle w:val="56"/>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ctrlPr>
                      <w:rPr>
                        <w:rFonts w:ascii="Cambria Math" w:hAnsi="Cambria Math"/>
                        <w:i/>
                      </w:rPr>
                    </m:ctrlPr>
                  </m:e>
                  <m:sub>
                    <m:r>
                      <w:rPr>
                        <w:rFonts w:ascii="Cambria Math" w:hAnsi="Cambria Math"/>
                      </w:rPr>
                      <m:t>10</m:t>
                    </m:r>
                    <m:ctrlPr>
                      <w:rPr>
                        <w:rFonts w:ascii="Cambria Math" w:hAnsi="Cambria Math"/>
                        <w:i/>
                      </w:rPr>
                    </m:ctrlP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ctrlPr>
                          <w:rPr>
                            <w:rFonts w:ascii="Cambria Math" w:hAnsi="Cambria Math"/>
                            <w:i/>
                          </w:rPr>
                        </m:ctrlPr>
                      </m:num>
                      <m:den>
                        <m:r>
                          <w:rPr>
                            <w:rFonts w:ascii="Cambria Math" w:hAnsi="Cambria Math"/>
                          </w:rPr>
                          <m:t>1s</m:t>
                        </m:r>
                        <m:ctrlPr>
                          <w:rPr>
                            <w:rFonts w:ascii="Cambria Math" w:hAnsi="Cambria Math"/>
                            <w:i/>
                          </w:rPr>
                        </m:ctrlPr>
                      </m:den>
                    </m:f>
                    <m:ctrlPr>
                      <w:rPr>
                        <w:rFonts w:ascii="Cambria Math" w:hAnsi="Cambria Math"/>
                        <w:i/>
                      </w:rPr>
                    </m:ctrlPr>
                  </m:e>
                </m:d>
              </m:oMath>
            </m:oMathPara>
          </w:p>
        </w:tc>
        <w:tc>
          <w:tcPr>
            <w:tcW w:w="819" w:type="dxa"/>
            <w:vAlign w:val="center"/>
          </w:tcPr>
          <w:p>
            <w:pPr>
              <w:pStyle w:val="56"/>
            </w:pPr>
            <m:oMathPara>
              <m:oMath>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lg</m:t>
                    </m:r>
                    <m:r>
                      <m:rPr>
                        <m:sty m:val="p"/>
                      </m:rPr>
                      <w:rPr>
                        <w:rFonts w:ascii="Cambria Math" w:hAnsi="Cambria Math"/>
                      </w:rPr>
                      <m:t>Δ</m:t>
                    </m:r>
                    <m:r>
                      <w:rPr>
                        <w:rFonts w:ascii="Cambria Math" w:hAnsi="Cambria Math"/>
                      </w:rPr>
                      <m:t>τ</m:t>
                    </m:r>
                    <m:ctrlPr>
                      <w:rPr>
                        <w:rFonts w:ascii="Cambria Math" w:hAnsi="Cambria Math"/>
                        <w:i/>
                      </w:rPr>
                    </m:ctrlPr>
                  </m:sub>
                </m:sSub>
              </m:oMath>
            </m:oMathPara>
          </w:p>
        </w:tc>
        <w:tc>
          <w:tcPr>
            <w:tcW w:w="1655" w:type="dxa"/>
            <w:vAlign w:val="center"/>
          </w:tcPr>
          <w:p>
            <w:pPr>
              <w:pStyle w:val="56"/>
              <w:rPr>
                <w:lang w:val="en-US" w:eastAsia="zh-CN"/>
              </w:rPr>
            </w:pPr>
            <w:r>
              <w:rPr>
                <w:rFonts w:hint="eastAsia"/>
                <w:lang w:val="en-US" w:eastAsia="zh-CN"/>
              </w:rPr>
              <w:t>-6.9</w:t>
            </w:r>
          </w:p>
        </w:tc>
        <w:tc>
          <w:tcPr>
            <w:tcW w:w="1656" w:type="dxa"/>
            <w:vAlign w:val="center"/>
          </w:tcPr>
          <w:p>
            <w:pPr>
              <w:pStyle w:val="56"/>
              <w:rPr>
                <w:lang w:val="en-US" w:eastAsia="zh-CN"/>
              </w:rPr>
            </w:pPr>
            <w:r>
              <w:rPr>
                <w:rFonts w:hint="eastAsia"/>
                <w:lang w:val="en-US" w:eastAsia="zh-CN"/>
              </w:rPr>
              <w:t>-6.5</w:t>
            </w:r>
          </w:p>
        </w:tc>
        <w:tc>
          <w:tcPr>
            <w:tcW w:w="1655" w:type="dxa"/>
            <w:vAlign w:val="center"/>
          </w:tcPr>
          <w:p>
            <w:pPr>
              <w:pStyle w:val="56"/>
            </w:pPr>
            <w: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 w:hRule="atLeast"/>
          <w:jc w:val="center"/>
        </w:trPr>
        <w:tc>
          <w:tcPr>
            <w:tcW w:w="1335" w:type="dxa"/>
            <w:vMerge w:val="continue"/>
            <w:vAlign w:val="center"/>
          </w:tcPr>
          <w:p>
            <w:pPr>
              <w:pStyle w:val="56"/>
            </w:pPr>
          </w:p>
        </w:tc>
        <w:tc>
          <w:tcPr>
            <w:tcW w:w="819" w:type="dxa"/>
            <w:vAlign w:val="center"/>
          </w:tcPr>
          <w:p>
            <w:pPr>
              <w:pStyle w:val="56"/>
            </w:pPr>
            <m:oMathPara>
              <m:oMath>
                <m:sSub>
                  <m:sSubPr>
                    <m:ctrlPr>
                      <w:rPr>
                        <w:rFonts w:ascii="Cambria Math" w:hAnsi="Cambria Math"/>
                        <w:i/>
                      </w:rPr>
                    </m:ctrlPr>
                  </m:sSubPr>
                  <m:e>
                    <m:r>
                      <w:rPr>
                        <w:rFonts w:ascii="Cambria Math" w:hAnsi="Cambria Math"/>
                      </w:rPr>
                      <m:t>σ</m:t>
                    </m:r>
                    <m:ctrlPr>
                      <w:rPr>
                        <w:rFonts w:ascii="Cambria Math" w:hAnsi="Cambria Math"/>
                        <w:i/>
                      </w:rPr>
                    </m:ctrlPr>
                  </m:e>
                  <m:sub>
                    <m:r>
                      <w:rPr>
                        <w:rFonts w:ascii="Cambria Math" w:hAnsi="Cambria Math"/>
                      </w:rPr>
                      <m:t>lg</m:t>
                    </m:r>
                    <m:r>
                      <m:rPr>
                        <m:sty m:val="p"/>
                      </m:rPr>
                      <w:rPr>
                        <w:rFonts w:ascii="Cambria Math" w:hAnsi="Cambria Math"/>
                      </w:rPr>
                      <m:t>Δ</m:t>
                    </m:r>
                    <m:r>
                      <w:rPr>
                        <w:rFonts w:ascii="Cambria Math" w:hAnsi="Cambria Math"/>
                      </w:rPr>
                      <m:t>τ</m:t>
                    </m:r>
                    <m:ctrlPr>
                      <w:rPr>
                        <w:rFonts w:ascii="Cambria Math" w:hAnsi="Cambria Math"/>
                        <w:i/>
                      </w:rPr>
                    </m:ctrlPr>
                  </m:sub>
                </m:sSub>
              </m:oMath>
            </m:oMathPara>
          </w:p>
        </w:tc>
        <w:tc>
          <w:tcPr>
            <w:tcW w:w="1655" w:type="dxa"/>
            <w:shd w:val="clear" w:color="auto" w:fill="auto"/>
            <w:vAlign w:val="center"/>
          </w:tcPr>
          <w:p>
            <w:pPr>
              <w:pStyle w:val="56"/>
              <w:rPr>
                <w:lang w:val="en-US" w:eastAsia="zh-CN"/>
              </w:rPr>
            </w:pPr>
            <w:r>
              <w:rPr>
                <w:rFonts w:hint="eastAsia"/>
                <w:lang w:val="en-US" w:eastAsia="zh-CN"/>
              </w:rPr>
              <w:t>1.0</w:t>
            </w:r>
          </w:p>
        </w:tc>
        <w:tc>
          <w:tcPr>
            <w:tcW w:w="1656" w:type="dxa"/>
            <w:shd w:val="clear" w:color="auto" w:fill="auto"/>
            <w:vAlign w:val="center"/>
          </w:tcPr>
          <w:p>
            <w:pPr>
              <w:pStyle w:val="56"/>
              <w:rPr>
                <w:lang w:val="en-US" w:eastAsia="zh-CN"/>
              </w:rPr>
            </w:pPr>
            <w:r>
              <w:rPr>
                <w:rFonts w:hint="eastAsia"/>
                <w:lang w:val="en-US" w:eastAsia="zh-CN"/>
              </w:rPr>
              <w:t>1.4</w:t>
            </w:r>
          </w:p>
        </w:tc>
        <w:tc>
          <w:tcPr>
            <w:tcW w:w="1655" w:type="dxa"/>
            <w:shd w:val="clear" w:color="auto" w:fill="auto"/>
            <w:vAlign w:val="center"/>
          </w:tcPr>
          <w:p>
            <w:pPr>
              <w:pStyle w:val="56"/>
              <w:rPr>
                <w:lang w:eastAsia="ko-KR"/>
              </w:rPr>
            </w:pPr>
            <w:r>
              <w:rPr>
                <w:lang w:eastAsia="ko-KR"/>
              </w:rPr>
              <w:t>0.4</w:t>
            </w:r>
          </w:p>
        </w:tc>
      </w:tr>
    </w:tbl>
    <w:p>
      <w:pPr>
        <w:snapToGrid w:val="0"/>
        <w:spacing w:before="180" w:beforeLines="50" w:after="180" w:afterLines="50" w:line="20" w:lineRule="atLeast"/>
        <w:jc w:val="both"/>
        <w:rPr>
          <w:rFonts w:ascii="Times New Roman" w:hAnsi="Times New Roman"/>
          <w:i/>
          <w:iCs/>
          <w:sz w:val="20"/>
          <w:szCs w:val="20"/>
        </w:rPr>
      </w:pPr>
      <w:r>
        <w:rPr>
          <w:rFonts w:hint="eastAsia" w:ascii="Times New Roman" w:hAnsi="Times New Roman"/>
          <w:b/>
          <w:bCs/>
          <w:i/>
          <w:iCs/>
          <w:sz w:val="20"/>
          <w:szCs w:val="20"/>
        </w:rPr>
        <w:t>Proposal 4:</w:t>
      </w:r>
      <w:r>
        <w:rPr>
          <w:rFonts w:hint="eastAsia" w:ascii="Times New Roman" w:hAnsi="Times New Roman"/>
          <w:i/>
          <w:iCs/>
          <w:sz w:val="20"/>
          <w:szCs w:val="20"/>
        </w:rPr>
        <w:t xml:space="preserve"> The absolute time of arrival model for UMi, UMa and IOO scenarios can be assumed </w:t>
      </w:r>
      <w:r>
        <w:rPr>
          <w:rFonts w:ascii="Times New Roman" w:hAnsi="Times New Roman"/>
          <w:i/>
          <w:iCs/>
          <w:sz w:val="20"/>
          <w:szCs w:val="20"/>
        </w:rPr>
        <w:t xml:space="preserve">as </w:t>
      </w:r>
      <w:r>
        <w:rPr>
          <w:rFonts w:hint="eastAsia" w:ascii="Times New Roman" w:hAnsi="Times New Roman"/>
          <w:i/>
          <w:iCs/>
          <w:sz w:val="20"/>
          <w:szCs w:val="20"/>
        </w:rPr>
        <w:t>in the following table,</w:t>
      </w:r>
    </w:p>
    <w:tbl>
      <w:tblPr>
        <w:tblStyle w:val="23"/>
        <w:tblW w:w="71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819"/>
        <w:gridCol w:w="1655"/>
        <w:gridCol w:w="1656"/>
        <w:gridCol w:w="1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 w:hRule="atLeast"/>
          <w:jc w:val="center"/>
        </w:trPr>
        <w:tc>
          <w:tcPr>
            <w:tcW w:w="2154" w:type="dxa"/>
            <w:gridSpan w:val="2"/>
            <w:shd w:val="clear" w:color="auto" w:fill="E0E0E0"/>
            <w:vAlign w:val="center"/>
          </w:tcPr>
          <w:p>
            <w:pPr>
              <w:pStyle w:val="55"/>
              <w:rPr>
                <w:lang w:eastAsia="ko-KR"/>
              </w:rPr>
            </w:pPr>
            <w:r>
              <w:rPr>
                <w:rFonts w:hint="eastAsia"/>
                <w:lang w:eastAsia="ko-KR"/>
              </w:rPr>
              <w:t>Scenarios</w:t>
            </w:r>
          </w:p>
        </w:tc>
        <w:tc>
          <w:tcPr>
            <w:tcW w:w="1655" w:type="dxa"/>
            <w:shd w:val="clear" w:color="auto" w:fill="E0E0E0"/>
            <w:vAlign w:val="center"/>
          </w:tcPr>
          <w:p>
            <w:pPr>
              <w:pStyle w:val="55"/>
              <w:rPr>
                <w:lang w:val="en-US" w:eastAsia="zh-CN"/>
              </w:rPr>
            </w:pPr>
            <w:r>
              <w:rPr>
                <w:rFonts w:hint="eastAsia"/>
                <w:lang w:val="en-US" w:eastAsia="zh-CN"/>
              </w:rPr>
              <w:t>UMi</w:t>
            </w:r>
          </w:p>
        </w:tc>
        <w:tc>
          <w:tcPr>
            <w:tcW w:w="1656" w:type="dxa"/>
            <w:shd w:val="clear" w:color="auto" w:fill="E0E0E0"/>
            <w:vAlign w:val="center"/>
          </w:tcPr>
          <w:p>
            <w:pPr>
              <w:pStyle w:val="55"/>
              <w:rPr>
                <w:lang w:val="en-US" w:eastAsia="zh-CN"/>
              </w:rPr>
            </w:pPr>
            <w:r>
              <w:rPr>
                <w:rFonts w:hint="eastAsia"/>
                <w:lang w:val="en-US" w:eastAsia="zh-CN"/>
              </w:rPr>
              <w:t>UMa</w:t>
            </w:r>
          </w:p>
        </w:tc>
        <w:tc>
          <w:tcPr>
            <w:tcW w:w="1655" w:type="dxa"/>
            <w:shd w:val="clear" w:color="auto" w:fill="E0E0E0"/>
            <w:vAlign w:val="center"/>
          </w:tcPr>
          <w:p>
            <w:pPr>
              <w:pStyle w:val="55"/>
              <w:rPr>
                <w:lang w:val="en-US" w:eastAsia="zh-CN"/>
              </w:rPr>
            </w:pPr>
            <w:r>
              <w:rPr>
                <w:rFonts w:hint="eastAsia"/>
                <w:lang w:val="en-US" w:eastAsia="zh-CN"/>
              </w:rPr>
              <w:t>IOO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 w:hRule="atLeast"/>
          <w:jc w:val="center"/>
        </w:trPr>
        <w:tc>
          <w:tcPr>
            <w:tcW w:w="1335" w:type="dxa"/>
            <w:vMerge w:val="restart"/>
            <w:vAlign w:val="center"/>
          </w:tcPr>
          <w:p>
            <w:pPr>
              <w:pStyle w:val="56"/>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ctrlPr>
                      <w:rPr>
                        <w:rFonts w:ascii="Cambria Math" w:hAnsi="Cambria Math"/>
                        <w:i/>
                      </w:rPr>
                    </m:ctrlPr>
                  </m:e>
                  <m:sub>
                    <m:r>
                      <w:rPr>
                        <w:rFonts w:ascii="Cambria Math" w:hAnsi="Cambria Math"/>
                      </w:rPr>
                      <m:t>10</m:t>
                    </m:r>
                    <m:ctrlPr>
                      <w:rPr>
                        <w:rFonts w:ascii="Cambria Math" w:hAnsi="Cambria Math"/>
                        <w:i/>
                      </w:rPr>
                    </m:ctrlP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ctrlPr>
                          <w:rPr>
                            <w:rFonts w:ascii="Cambria Math" w:hAnsi="Cambria Math"/>
                            <w:i/>
                          </w:rPr>
                        </m:ctrlPr>
                      </m:num>
                      <m:den>
                        <m:r>
                          <w:rPr>
                            <w:rFonts w:ascii="Cambria Math" w:hAnsi="Cambria Math"/>
                          </w:rPr>
                          <m:t>1s</m:t>
                        </m:r>
                        <m:ctrlPr>
                          <w:rPr>
                            <w:rFonts w:ascii="Cambria Math" w:hAnsi="Cambria Math"/>
                            <w:i/>
                          </w:rPr>
                        </m:ctrlPr>
                      </m:den>
                    </m:f>
                    <m:ctrlPr>
                      <w:rPr>
                        <w:rFonts w:ascii="Cambria Math" w:hAnsi="Cambria Math"/>
                        <w:i/>
                      </w:rPr>
                    </m:ctrlPr>
                  </m:e>
                </m:d>
              </m:oMath>
            </m:oMathPara>
          </w:p>
        </w:tc>
        <w:tc>
          <w:tcPr>
            <w:tcW w:w="819" w:type="dxa"/>
            <w:vAlign w:val="center"/>
          </w:tcPr>
          <w:p>
            <w:pPr>
              <w:pStyle w:val="56"/>
            </w:pPr>
            <m:oMathPara>
              <m:oMath>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lg</m:t>
                    </m:r>
                    <m:r>
                      <m:rPr>
                        <m:sty m:val="p"/>
                      </m:rPr>
                      <w:rPr>
                        <w:rFonts w:ascii="Cambria Math" w:hAnsi="Cambria Math"/>
                      </w:rPr>
                      <m:t>Δ</m:t>
                    </m:r>
                    <m:r>
                      <w:rPr>
                        <w:rFonts w:ascii="Cambria Math" w:hAnsi="Cambria Math"/>
                      </w:rPr>
                      <m:t>τ</m:t>
                    </m:r>
                    <m:ctrlPr>
                      <w:rPr>
                        <w:rFonts w:ascii="Cambria Math" w:hAnsi="Cambria Math"/>
                        <w:i/>
                      </w:rPr>
                    </m:ctrlPr>
                  </m:sub>
                </m:sSub>
              </m:oMath>
            </m:oMathPara>
          </w:p>
        </w:tc>
        <w:tc>
          <w:tcPr>
            <w:tcW w:w="1655" w:type="dxa"/>
            <w:vAlign w:val="center"/>
          </w:tcPr>
          <w:p>
            <w:pPr>
              <w:pStyle w:val="56"/>
              <w:rPr>
                <w:lang w:val="en-US" w:eastAsia="zh-CN"/>
              </w:rPr>
            </w:pPr>
            <w:r>
              <w:rPr>
                <w:rFonts w:hint="eastAsia"/>
                <w:lang w:val="en-US" w:eastAsia="zh-CN"/>
              </w:rPr>
              <w:t>-6.9</w:t>
            </w:r>
          </w:p>
        </w:tc>
        <w:tc>
          <w:tcPr>
            <w:tcW w:w="1656" w:type="dxa"/>
            <w:vAlign w:val="center"/>
          </w:tcPr>
          <w:p>
            <w:pPr>
              <w:pStyle w:val="56"/>
              <w:rPr>
                <w:lang w:val="en-US" w:eastAsia="zh-CN"/>
              </w:rPr>
            </w:pPr>
            <w:r>
              <w:rPr>
                <w:rFonts w:hint="eastAsia"/>
                <w:lang w:val="en-US" w:eastAsia="zh-CN"/>
              </w:rPr>
              <w:t>-6.5</w:t>
            </w:r>
          </w:p>
        </w:tc>
        <w:tc>
          <w:tcPr>
            <w:tcW w:w="1655" w:type="dxa"/>
            <w:vAlign w:val="center"/>
          </w:tcPr>
          <w:p>
            <w:pPr>
              <w:pStyle w:val="56"/>
            </w:pPr>
            <w: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 w:hRule="atLeast"/>
          <w:jc w:val="center"/>
        </w:trPr>
        <w:tc>
          <w:tcPr>
            <w:tcW w:w="1335" w:type="dxa"/>
            <w:vMerge w:val="continue"/>
            <w:vAlign w:val="center"/>
          </w:tcPr>
          <w:p>
            <w:pPr>
              <w:pStyle w:val="56"/>
            </w:pPr>
          </w:p>
        </w:tc>
        <w:tc>
          <w:tcPr>
            <w:tcW w:w="819" w:type="dxa"/>
            <w:vAlign w:val="center"/>
          </w:tcPr>
          <w:p>
            <w:pPr>
              <w:pStyle w:val="56"/>
            </w:pPr>
            <m:oMathPara>
              <m:oMath>
                <m:sSub>
                  <m:sSubPr>
                    <m:ctrlPr>
                      <w:rPr>
                        <w:rFonts w:ascii="Cambria Math" w:hAnsi="Cambria Math"/>
                        <w:i/>
                      </w:rPr>
                    </m:ctrlPr>
                  </m:sSubPr>
                  <m:e>
                    <m:r>
                      <w:rPr>
                        <w:rFonts w:ascii="Cambria Math" w:hAnsi="Cambria Math"/>
                      </w:rPr>
                      <m:t>σ</m:t>
                    </m:r>
                    <m:ctrlPr>
                      <w:rPr>
                        <w:rFonts w:ascii="Cambria Math" w:hAnsi="Cambria Math"/>
                        <w:i/>
                      </w:rPr>
                    </m:ctrlPr>
                  </m:e>
                  <m:sub>
                    <m:r>
                      <w:rPr>
                        <w:rFonts w:ascii="Cambria Math" w:hAnsi="Cambria Math"/>
                      </w:rPr>
                      <m:t>lg</m:t>
                    </m:r>
                    <m:r>
                      <m:rPr>
                        <m:sty m:val="p"/>
                      </m:rPr>
                      <w:rPr>
                        <w:rFonts w:ascii="Cambria Math" w:hAnsi="Cambria Math"/>
                      </w:rPr>
                      <m:t>Δ</m:t>
                    </m:r>
                    <m:r>
                      <w:rPr>
                        <w:rFonts w:ascii="Cambria Math" w:hAnsi="Cambria Math"/>
                      </w:rPr>
                      <m:t>τ</m:t>
                    </m:r>
                    <m:ctrlPr>
                      <w:rPr>
                        <w:rFonts w:ascii="Cambria Math" w:hAnsi="Cambria Math"/>
                        <w:i/>
                      </w:rPr>
                    </m:ctrlPr>
                  </m:sub>
                </m:sSub>
              </m:oMath>
            </m:oMathPara>
          </w:p>
        </w:tc>
        <w:tc>
          <w:tcPr>
            <w:tcW w:w="1655" w:type="dxa"/>
            <w:shd w:val="clear" w:color="auto" w:fill="auto"/>
            <w:vAlign w:val="center"/>
          </w:tcPr>
          <w:p>
            <w:pPr>
              <w:pStyle w:val="56"/>
              <w:rPr>
                <w:lang w:val="en-US" w:eastAsia="zh-CN"/>
              </w:rPr>
            </w:pPr>
            <w:r>
              <w:rPr>
                <w:rFonts w:hint="eastAsia"/>
                <w:lang w:val="en-US" w:eastAsia="zh-CN"/>
              </w:rPr>
              <w:t>1.0</w:t>
            </w:r>
          </w:p>
        </w:tc>
        <w:tc>
          <w:tcPr>
            <w:tcW w:w="1656" w:type="dxa"/>
            <w:shd w:val="clear" w:color="auto" w:fill="auto"/>
            <w:vAlign w:val="center"/>
          </w:tcPr>
          <w:p>
            <w:pPr>
              <w:pStyle w:val="56"/>
              <w:rPr>
                <w:lang w:val="en-US" w:eastAsia="zh-CN"/>
              </w:rPr>
            </w:pPr>
            <w:r>
              <w:rPr>
                <w:rFonts w:hint="eastAsia"/>
                <w:lang w:val="en-US" w:eastAsia="zh-CN"/>
              </w:rPr>
              <w:t>1.4</w:t>
            </w:r>
          </w:p>
        </w:tc>
        <w:tc>
          <w:tcPr>
            <w:tcW w:w="1655" w:type="dxa"/>
            <w:shd w:val="clear" w:color="auto" w:fill="auto"/>
            <w:vAlign w:val="center"/>
          </w:tcPr>
          <w:p>
            <w:pPr>
              <w:pStyle w:val="56"/>
              <w:rPr>
                <w:lang w:eastAsia="ko-KR"/>
              </w:rPr>
            </w:pPr>
            <w:r>
              <w:rPr>
                <w:lang w:eastAsia="ko-KR"/>
              </w:rPr>
              <w:t>0.4</w:t>
            </w:r>
          </w:p>
        </w:tc>
      </w:tr>
    </w:tbl>
    <w:p>
      <w:pPr>
        <w:pStyle w:val="2"/>
        <w:snapToGrid w:val="0"/>
        <w:spacing w:before="180" w:beforeLines="50" w:after="180" w:afterLines="50"/>
        <w:ind w:left="431" w:hanging="431"/>
        <w:rPr>
          <w:rFonts w:ascii="Times New Roman" w:hAnsi="Times New Roman"/>
          <w:sz w:val="28"/>
          <w:lang w:val="en-US"/>
        </w:rPr>
      </w:pPr>
      <w:r>
        <w:rPr>
          <w:rFonts w:hint="eastAsia" w:ascii="Times New Roman" w:hAnsi="Times New Roman"/>
          <w:sz w:val="28"/>
          <w:lang w:val="en-US"/>
        </w:rPr>
        <w:t>Conclusions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this contribution, we have discussed some r</w:t>
      </w:r>
      <w:r>
        <w:rPr>
          <w:rFonts w:ascii="Times New Roman" w:hAnsi="Times New Roman"/>
          <w:sz w:val="20"/>
          <w:szCs w:val="20"/>
        </w:rPr>
        <w:t>emaining issues on evaluation assumptions</w:t>
      </w:r>
      <w:r>
        <w:rPr>
          <w:rFonts w:hint="eastAsia" w:ascii="Times New Roman" w:hAnsi="Times New Roman"/>
          <w:sz w:val="20"/>
          <w:szCs w:val="20"/>
        </w:rPr>
        <w:t>. Based on the discussion, we have the following proposals,</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The target positioning requirements for Rel-17 should adopt following suggestions,</w:t>
      </w:r>
    </w:p>
    <w:p>
      <w:pPr>
        <w:numPr>
          <w:ilvl w:val="0"/>
          <w:numId w:val="5"/>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T</w:t>
      </w:r>
      <w:r>
        <w:rPr>
          <w:rFonts w:ascii="Times New Roman" w:hAnsi="Times New Roman"/>
          <w:i/>
          <w:iCs/>
          <w:sz w:val="20"/>
          <w:szCs w:val="20"/>
        </w:rPr>
        <w:t>he target percentile of UEs required to meet the position accuracy requirement</w:t>
      </w:r>
      <w:r>
        <w:rPr>
          <w:rFonts w:hint="eastAsia" w:ascii="Times New Roman" w:hAnsi="Times New Roman"/>
          <w:i/>
          <w:iCs/>
          <w:sz w:val="20"/>
          <w:szCs w:val="20"/>
        </w:rPr>
        <w:t xml:space="preserve"> is 90%.</w:t>
      </w:r>
    </w:p>
    <w:p>
      <w:pPr>
        <w:numPr>
          <w:ilvl w:val="0"/>
          <w:numId w:val="5"/>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Vertical position accuracy</w:t>
      </w:r>
      <w:r>
        <w:rPr>
          <w:rFonts w:hint="eastAsia" w:ascii="Times New Roman" w:hAnsi="Times New Roman"/>
          <w:i/>
          <w:iCs/>
          <w:sz w:val="20"/>
          <w:szCs w:val="20"/>
        </w:rPr>
        <w:t xml:space="preserve"> for commercial use cases is 3</w:t>
      </w:r>
      <w:r>
        <w:rPr>
          <w:rFonts w:hint="eastAsia" w:ascii="Times New Roman" w:hAnsi="Times New Roman"/>
          <w:i/>
          <w:iCs/>
          <w:sz w:val="20"/>
          <w:szCs w:val="20"/>
          <w:lang w:val="en-US" w:eastAsia="zh-CN"/>
        </w:rPr>
        <w:t xml:space="preserve"> </w:t>
      </w:r>
      <w:r>
        <w:rPr>
          <w:rFonts w:hint="eastAsia" w:ascii="Times New Roman" w:hAnsi="Times New Roman"/>
          <w:i/>
          <w:iCs/>
          <w:sz w:val="20"/>
          <w:szCs w:val="20"/>
        </w:rPr>
        <w:t>m.</w:t>
      </w:r>
    </w:p>
    <w:p>
      <w:pPr>
        <w:numPr>
          <w:ilvl w:val="0"/>
          <w:numId w:val="5"/>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D</w:t>
      </w:r>
      <w:r>
        <w:rPr>
          <w:rFonts w:ascii="Times New Roman" w:hAnsi="Times New Roman"/>
          <w:i/>
          <w:iCs/>
          <w:sz w:val="20"/>
          <w:szCs w:val="20"/>
        </w:rPr>
        <w:t>ifferent IIOT channels have different position accuracy requirements</w:t>
      </w:r>
      <w:r>
        <w:rPr>
          <w:rFonts w:hint="eastAsia" w:ascii="Times New Roman" w:hAnsi="Times New Roman"/>
          <w:i/>
          <w:iCs/>
          <w:sz w:val="20"/>
          <w:szCs w:val="20"/>
        </w:rPr>
        <w:t>, e.g. X=0.5 and Y=1 for InF-SH channel and X=0.5 and Y=1 for InF-DH channel.</w:t>
      </w:r>
    </w:p>
    <w:p>
      <w:pPr>
        <w:numPr>
          <w:ilvl w:val="0"/>
          <w:numId w:val="5"/>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W</w:t>
      </w:r>
      <w:r>
        <w:rPr>
          <w:rFonts w:hint="eastAsia" w:ascii="Times New Roman" w:hAnsi="Times New Roman"/>
          <w:i/>
          <w:iCs/>
          <w:sz w:val="20"/>
          <w:szCs w:val="20"/>
        </w:rPr>
        <w:t>ait for more inputs from other working groups</w:t>
      </w:r>
      <w:r>
        <w:rPr>
          <w:rFonts w:ascii="Times New Roman" w:hAnsi="Times New Roman"/>
          <w:i/>
          <w:iCs/>
          <w:sz w:val="20"/>
          <w:szCs w:val="20"/>
        </w:rPr>
        <w:t xml:space="preserve"> to decide the latency requirement</w:t>
      </w:r>
      <w:r>
        <w:rPr>
          <w:rFonts w:hint="eastAsia" w:ascii="Times New Roman" w:hAnsi="Times New Roman"/>
          <w:i/>
          <w:iCs/>
          <w:sz w:val="20"/>
          <w:szCs w:val="20"/>
        </w:rPr>
        <w:t>.</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RS overhead </w:t>
      </w:r>
      <w:r>
        <w:rPr>
          <w:rFonts w:ascii="Times New Roman" w:hAnsi="Times New Roman"/>
          <w:i/>
          <w:iCs/>
          <w:sz w:val="20"/>
          <w:szCs w:val="20"/>
        </w:rPr>
        <w:t xml:space="preserve">should be a critical factor considered for </w:t>
      </w:r>
      <w:r>
        <w:rPr>
          <w:rFonts w:hint="eastAsia" w:ascii="Times New Roman" w:hAnsi="Times New Roman"/>
          <w:i/>
          <w:iCs/>
          <w:sz w:val="20"/>
          <w:szCs w:val="20"/>
        </w:rPr>
        <w:t>network efficiency. Similarly, the number of total resource that UE need to process within a window can be a metric for UE efficiency.</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3:</w:t>
      </w:r>
      <w:r>
        <w:rPr>
          <w:rFonts w:hint="eastAsia" w:ascii="Times New Roman" w:hAnsi="Times New Roman"/>
          <w:i/>
          <w:iCs/>
          <w:sz w:val="20"/>
          <w:szCs w:val="20"/>
        </w:rPr>
        <w:t xml:space="preserve"> On how to apply UE/gNB RX and TX timing error,</w:t>
      </w:r>
    </w:p>
    <w:p>
      <w:pPr>
        <w:numPr>
          <w:ilvl w:val="0"/>
          <w:numId w:val="1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UE RX and TX timing error will be generated randomly per UE</w:t>
      </w:r>
      <w:r>
        <w:rPr>
          <w:rFonts w:hint="eastAsia" w:ascii="Times New Roman" w:hAnsi="Times New Roman"/>
          <w:i/>
          <w:iCs/>
          <w:sz w:val="20"/>
          <w:szCs w:val="20"/>
        </w:rPr>
        <w:t xml:space="preserve"> in single panel use case, which will be added on UE Rx-Tx measurement. </w:t>
      </w:r>
    </w:p>
    <w:p>
      <w:pPr>
        <w:numPr>
          <w:ilvl w:val="0"/>
          <w:numId w:val="10"/>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UE </w:t>
      </w:r>
      <w:r>
        <w:rPr>
          <w:rFonts w:ascii="Times New Roman" w:hAnsi="Times New Roman" w:eastAsia="宋体"/>
          <w:i/>
          <w:iCs/>
          <w:sz w:val="20"/>
          <w:szCs w:val="20"/>
        </w:rPr>
        <w:t xml:space="preserve">RX and TX timing </w:t>
      </w:r>
      <w:r>
        <w:rPr>
          <w:rFonts w:hint="eastAsia" w:ascii="Times New Roman" w:hAnsi="Times New Roman"/>
          <w:i/>
          <w:iCs/>
          <w:sz w:val="20"/>
          <w:szCs w:val="20"/>
        </w:rPr>
        <w:t>error will be generated randomly per panel per UE in multiple panels use case, both UE Rx-Tx and RSTD measurements should take into account the error in simulation.</w:t>
      </w:r>
    </w:p>
    <w:p>
      <w:pPr>
        <w:numPr>
          <w:ilvl w:val="0"/>
          <w:numId w:val="1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gNB RX and TX timing error should be generated randomly per gNB, all timing measurements on gNB side will be added the error according to the corresponding gNB.</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4:</w:t>
      </w:r>
      <w:r>
        <w:rPr>
          <w:rFonts w:hint="eastAsia" w:ascii="Times New Roman" w:hAnsi="Times New Roman"/>
          <w:i/>
          <w:iCs/>
          <w:sz w:val="20"/>
          <w:szCs w:val="20"/>
        </w:rPr>
        <w:t xml:space="preserve"> The absolute time of arrival model for UMi, UMa and IOO scenarios can be assumed </w:t>
      </w:r>
      <w:r>
        <w:rPr>
          <w:rFonts w:hint="eastAsia" w:ascii="Times New Roman" w:hAnsi="Times New Roman"/>
          <w:i/>
          <w:iCs/>
          <w:sz w:val="20"/>
          <w:szCs w:val="20"/>
          <w:lang w:val="en-US" w:eastAsia="zh-CN"/>
        </w:rPr>
        <w:t xml:space="preserve">as </w:t>
      </w:r>
      <w:r>
        <w:rPr>
          <w:rFonts w:hint="eastAsia" w:ascii="Times New Roman" w:hAnsi="Times New Roman"/>
          <w:i/>
          <w:iCs/>
          <w:sz w:val="20"/>
          <w:szCs w:val="20"/>
        </w:rPr>
        <w:t>in the following table,</w:t>
      </w:r>
    </w:p>
    <w:tbl>
      <w:tblPr>
        <w:tblStyle w:val="23"/>
        <w:tblW w:w="71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819"/>
        <w:gridCol w:w="1655"/>
        <w:gridCol w:w="1656"/>
        <w:gridCol w:w="1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 w:hRule="atLeast"/>
          <w:jc w:val="center"/>
        </w:trPr>
        <w:tc>
          <w:tcPr>
            <w:tcW w:w="2154" w:type="dxa"/>
            <w:gridSpan w:val="2"/>
            <w:shd w:val="clear" w:color="auto" w:fill="E0E0E0"/>
            <w:vAlign w:val="center"/>
          </w:tcPr>
          <w:p>
            <w:pPr>
              <w:pStyle w:val="55"/>
              <w:rPr>
                <w:lang w:eastAsia="ko-KR"/>
              </w:rPr>
            </w:pPr>
            <w:r>
              <w:rPr>
                <w:rFonts w:hint="eastAsia"/>
                <w:lang w:eastAsia="ko-KR"/>
              </w:rPr>
              <w:t>Scenarios</w:t>
            </w:r>
          </w:p>
        </w:tc>
        <w:tc>
          <w:tcPr>
            <w:tcW w:w="1655" w:type="dxa"/>
            <w:shd w:val="clear" w:color="auto" w:fill="E0E0E0"/>
            <w:vAlign w:val="center"/>
          </w:tcPr>
          <w:p>
            <w:pPr>
              <w:pStyle w:val="55"/>
              <w:rPr>
                <w:lang w:val="en-US" w:eastAsia="zh-CN"/>
              </w:rPr>
            </w:pPr>
            <w:r>
              <w:rPr>
                <w:rFonts w:hint="eastAsia"/>
                <w:lang w:val="en-US" w:eastAsia="zh-CN"/>
              </w:rPr>
              <w:t>UMi</w:t>
            </w:r>
          </w:p>
        </w:tc>
        <w:tc>
          <w:tcPr>
            <w:tcW w:w="1656" w:type="dxa"/>
            <w:shd w:val="clear" w:color="auto" w:fill="E0E0E0"/>
            <w:vAlign w:val="center"/>
          </w:tcPr>
          <w:p>
            <w:pPr>
              <w:pStyle w:val="55"/>
              <w:rPr>
                <w:lang w:val="en-US" w:eastAsia="zh-CN"/>
              </w:rPr>
            </w:pPr>
            <w:r>
              <w:rPr>
                <w:rFonts w:hint="eastAsia"/>
                <w:lang w:val="en-US" w:eastAsia="zh-CN"/>
              </w:rPr>
              <w:t>UMa</w:t>
            </w:r>
          </w:p>
        </w:tc>
        <w:tc>
          <w:tcPr>
            <w:tcW w:w="1655" w:type="dxa"/>
            <w:shd w:val="clear" w:color="auto" w:fill="E0E0E0"/>
            <w:vAlign w:val="center"/>
          </w:tcPr>
          <w:p>
            <w:pPr>
              <w:pStyle w:val="55"/>
              <w:rPr>
                <w:lang w:val="en-US" w:eastAsia="zh-CN"/>
              </w:rPr>
            </w:pPr>
            <w:r>
              <w:rPr>
                <w:rFonts w:hint="eastAsia"/>
                <w:lang w:val="en-US" w:eastAsia="zh-CN"/>
              </w:rPr>
              <w:t>IOO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 w:hRule="atLeast"/>
          <w:jc w:val="center"/>
        </w:trPr>
        <w:tc>
          <w:tcPr>
            <w:tcW w:w="1335" w:type="dxa"/>
            <w:vMerge w:val="restart"/>
            <w:vAlign w:val="center"/>
          </w:tcPr>
          <w:p>
            <w:pPr>
              <w:pStyle w:val="56"/>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ctrlPr>
                      <w:rPr>
                        <w:rFonts w:ascii="Cambria Math" w:hAnsi="Cambria Math"/>
                        <w:i/>
                      </w:rPr>
                    </m:ctrlPr>
                  </m:e>
                  <m:sub>
                    <m:r>
                      <w:rPr>
                        <w:rFonts w:ascii="Cambria Math" w:hAnsi="Cambria Math"/>
                      </w:rPr>
                      <m:t>10</m:t>
                    </m:r>
                    <m:ctrlPr>
                      <w:rPr>
                        <w:rFonts w:ascii="Cambria Math" w:hAnsi="Cambria Math"/>
                        <w:i/>
                      </w:rPr>
                    </m:ctrlP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ctrlPr>
                          <w:rPr>
                            <w:rFonts w:ascii="Cambria Math" w:hAnsi="Cambria Math"/>
                            <w:i/>
                          </w:rPr>
                        </m:ctrlPr>
                      </m:num>
                      <m:den>
                        <m:r>
                          <w:rPr>
                            <w:rFonts w:ascii="Cambria Math" w:hAnsi="Cambria Math"/>
                          </w:rPr>
                          <m:t>1s</m:t>
                        </m:r>
                        <m:ctrlPr>
                          <w:rPr>
                            <w:rFonts w:ascii="Cambria Math" w:hAnsi="Cambria Math"/>
                            <w:i/>
                          </w:rPr>
                        </m:ctrlPr>
                      </m:den>
                    </m:f>
                    <m:ctrlPr>
                      <w:rPr>
                        <w:rFonts w:ascii="Cambria Math" w:hAnsi="Cambria Math"/>
                        <w:i/>
                      </w:rPr>
                    </m:ctrlPr>
                  </m:e>
                </m:d>
              </m:oMath>
            </m:oMathPara>
          </w:p>
        </w:tc>
        <w:tc>
          <w:tcPr>
            <w:tcW w:w="819" w:type="dxa"/>
            <w:vAlign w:val="center"/>
          </w:tcPr>
          <w:p>
            <w:pPr>
              <w:pStyle w:val="56"/>
            </w:pPr>
            <m:oMathPara>
              <m:oMath>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lg</m:t>
                    </m:r>
                    <m:r>
                      <m:rPr>
                        <m:sty m:val="p"/>
                      </m:rPr>
                      <w:rPr>
                        <w:rFonts w:ascii="Cambria Math" w:hAnsi="Cambria Math"/>
                      </w:rPr>
                      <m:t>Δ</m:t>
                    </m:r>
                    <m:r>
                      <w:rPr>
                        <w:rFonts w:ascii="Cambria Math" w:hAnsi="Cambria Math"/>
                      </w:rPr>
                      <m:t>τ</m:t>
                    </m:r>
                    <m:ctrlPr>
                      <w:rPr>
                        <w:rFonts w:ascii="Cambria Math" w:hAnsi="Cambria Math"/>
                        <w:i/>
                      </w:rPr>
                    </m:ctrlPr>
                  </m:sub>
                </m:sSub>
              </m:oMath>
            </m:oMathPara>
          </w:p>
        </w:tc>
        <w:tc>
          <w:tcPr>
            <w:tcW w:w="1655" w:type="dxa"/>
            <w:vAlign w:val="center"/>
          </w:tcPr>
          <w:p>
            <w:pPr>
              <w:pStyle w:val="56"/>
              <w:rPr>
                <w:lang w:val="en-US" w:eastAsia="zh-CN"/>
              </w:rPr>
            </w:pPr>
            <w:r>
              <w:rPr>
                <w:rFonts w:hint="eastAsia"/>
                <w:lang w:val="en-US" w:eastAsia="zh-CN"/>
              </w:rPr>
              <w:t>-6.9</w:t>
            </w:r>
          </w:p>
        </w:tc>
        <w:tc>
          <w:tcPr>
            <w:tcW w:w="1656" w:type="dxa"/>
            <w:vAlign w:val="center"/>
          </w:tcPr>
          <w:p>
            <w:pPr>
              <w:pStyle w:val="56"/>
              <w:rPr>
                <w:lang w:val="en-US" w:eastAsia="zh-CN"/>
              </w:rPr>
            </w:pPr>
            <w:r>
              <w:rPr>
                <w:rFonts w:hint="eastAsia"/>
                <w:lang w:val="en-US" w:eastAsia="zh-CN"/>
              </w:rPr>
              <w:t>-6.5</w:t>
            </w:r>
          </w:p>
        </w:tc>
        <w:tc>
          <w:tcPr>
            <w:tcW w:w="1655" w:type="dxa"/>
            <w:vAlign w:val="center"/>
          </w:tcPr>
          <w:p>
            <w:pPr>
              <w:pStyle w:val="56"/>
            </w:pPr>
            <w: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 w:hRule="atLeast"/>
          <w:jc w:val="center"/>
        </w:trPr>
        <w:tc>
          <w:tcPr>
            <w:tcW w:w="1335" w:type="dxa"/>
            <w:vMerge w:val="continue"/>
            <w:vAlign w:val="center"/>
          </w:tcPr>
          <w:p>
            <w:pPr>
              <w:pStyle w:val="56"/>
            </w:pPr>
          </w:p>
        </w:tc>
        <w:tc>
          <w:tcPr>
            <w:tcW w:w="819" w:type="dxa"/>
            <w:vAlign w:val="center"/>
          </w:tcPr>
          <w:p>
            <w:pPr>
              <w:pStyle w:val="56"/>
            </w:pPr>
            <m:oMathPara>
              <m:oMath>
                <m:sSub>
                  <m:sSubPr>
                    <m:ctrlPr>
                      <w:rPr>
                        <w:rFonts w:ascii="Cambria Math" w:hAnsi="Cambria Math"/>
                        <w:i/>
                      </w:rPr>
                    </m:ctrlPr>
                  </m:sSubPr>
                  <m:e>
                    <m:r>
                      <w:rPr>
                        <w:rFonts w:ascii="Cambria Math" w:hAnsi="Cambria Math"/>
                      </w:rPr>
                      <m:t>σ</m:t>
                    </m:r>
                    <m:ctrlPr>
                      <w:rPr>
                        <w:rFonts w:ascii="Cambria Math" w:hAnsi="Cambria Math"/>
                        <w:i/>
                      </w:rPr>
                    </m:ctrlPr>
                  </m:e>
                  <m:sub>
                    <m:r>
                      <w:rPr>
                        <w:rFonts w:ascii="Cambria Math" w:hAnsi="Cambria Math"/>
                      </w:rPr>
                      <m:t>lg</m:t>
                    </m:r>
                    <m:r>
                      <m:rPr>
                        <m:sty m:val="p"/>
                      </m:rPr>
                      <w:rPr>
                        <w:rFonts w:ascii="Cambria Math" w:hAnsi="Cambria Math"/>
                      </w:rPr>
                      <m:t>Δ</m:t>
                    </m:r>
                    <m:r>
                      <w:rPr>
                        <w:rFonts w:ascii="Cambria Math" w:hAnsi="Cambria Math"/>
                      </w:rPr>
                      <m:t>τ</m:t>
                    </m:r>
                    <m:ctrlPr>
                      <w:rPr>
                        <w:rFonts w:ascii="Cambria Math" w:hAnsi="Cambria Math"/>
                        <w:i/>
                      </w:rPr>
                    </m:ctrlPr>
                  </m:sub>
                </m:sSub>
              </m:oMath>
            </m:oMathPara>
          </w:p>
        </w:tc>
        <w:tc>
          <w:tcPr>
            <w:tcW w:w="1655" w:type="dxa"/>
            <w:shd w:val="clear" w:color="auto" w:fill="auto"/>
            <w:vAlign w:val="center"/>
          </w:tcPr>
          <w:p>
            <w:pPr>
              <w:pStyle w:val="56"/>
              <w:rPr>
                <w:lang w:val="en-US" w:eastAsia="zh-CN"/>
              </w:rPr>
            </w:pPr>
            <w:r>
              <w:rPr>
                <w:rFonts w:hint="eastAsia"/>
                <w:lang w:val="en-US" w:eastAsia="zh-CN"/>
              </w:rPr>
              <w:t>1.0</w:t>
            </w:r>
          </w:p>
        </w:tc>
        <w:tc>
          <w:tcPr>
            <w:tcW w:w="1656" w:type="dxa"/>
            <w:shd w:val="clear" w:color="auto" w:fill="auto"/>
            <w:vAlign w:val="center"/>
          </w:tcPr>
          <w:p>
            <w:pPr>
              <w:pStyle w:val="56"/>
              <w:rPr>
                <w:lang w:val="en-US" w:eastAsia="zh-CN"/>
              </w:rPr>
            </w:pPr>
            <w:r>
              <w:rPr>
                <w:rFonts w:hint="eastAsia"/>
                <w:lang w:val="en-US" w:eastAsia="zh-CN"/>
              </w:rPr>
              <w:t>1.4</w:t>
            </w:r>
          </w:p>
        </w:tc>
        <w:tc>
          <w:tcPr>
            <w:tcW w:w="1655" w:type="dxa"/>
            <w:shd w:val="clear" w:color="auto" w:fill="auto"/>
            <w:vAlign w:val="center"/>
          </w:tcPr>
          <w:p>
            <w:pPr>
              <w:pStyle w:val="56"/>
              <w:rPr>
                <w:lang w:eastAsia="ko-KR"/>
              </w:rPr>
            </w:pPr>
            <w:r>
              <w:rPr>
                <w:lang w:eastAsia="ko-KR"/>
              </w:rPr>
              <w:t>0.4</w:t>
            </w:r>
          </w:p>
        </w:tc>
      </w:tr>
    </w:tbl>
    <w:p>
      <w:pPr>
        <w:pStyle w:val="2"/>
        <w:snapToGrid w:val="0"/>
        <w:spacing w:before="180" w:beforeLines="50" w:after="180" w:afterLines="50"/>
        <w:ind w:left="431" w:hanging="431"/>
        <w:rPr>
          <w:rFonts w:ascii="Times New Roman" w:hAnsi="Times New Roman"/>
          <w:sz w:val="28"/>
          <w:lang w:val="en-US"/>
        </w:rPr>
      </w:pPr>
      <w:bookmarkStart w:id="6" w:name="OLE_LINK11"/>
      <w:bookmarkStart w:id="7" w:name="OLE_LINK10"/>
      <w:r>
        <w:rPr>
          <w:rFonts w:ascii="Times New Roman" w:hAnsi="Times New Roman"/>
          <w:sz w:val="28"/>
          <w:lang w:val="en-US"/>
        </w:rPr>
        <w:t>References</w:t>
      </w:r>
    </w:p>
    <w:bookmarkEnd w:id="6"/>
    <w:bookmarkEnd w:id="7"/>
    <w:p>
      <w:pPr>
        <w:numPr>
          <w:ilvl w:val="0"/>
          <w:numId w:val="12"/>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RP-193237, New SID on NR Positioning Enhancements, Qualcomm Incorporated</w:t>
      </w:r>
    </w:p>
    <w:p>
      <w:pPr>
        <w:numPr>
          <w:ilvl w:val="0"/>
          <w:numId w:val="12"/>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RAN1 Chairman’s Notes, 3GPP TSG RAN WG1 Meeting #101-e, May 25</w:t>
      </w:r>
      <w:r>
        <w:rPr>
          <w:rFonts w:ascii="Times New Roman" w:hAnsi="Times New Roman"/>
          <w:sz w:val="20"/>
          <w:szCs w:val="20"/>
          <w:vertAlign w:val="superscript"/>
        </w:rPr>
        <w:t>th</w:t>
      </w:r>
      <w:r>
        <w:rPr>
          <w:rFonts w:ascii="Times New Roman" w:hAnsi="Times New Roman"/>
          <w:sz w:val="20"/>
          <w:szCs w:val="20"/>
        </w:rPr>
        <w:t>–June 5</w:t>
      </w:r>
      <w:r>
        <w:rPr>
          <w:rFonts w:ascii="Times New Roman" w:hAnsi="Times New Roman"/>
          <w:sz w:val="20"/>
          <w:szCs w:val="20"/>
          <w:vertAlign w:val="superscript"/>
        </w:rPr>
        <w:t>th</w:t>
      </w:r>
      <w:r>
        <w:rPr>
          <w:rFonts w:ascii="Times New Roman" w:hAnsi="Times New Roman"/>
          <w:sz w:val="20"/>
          <w:szCs w:val="20"/>
        </w:rPr>
        <w:t>, 2020</w:t>
      </w:r>
    </w:p>
    <w:p>
      <w:pPr>
        <w:numPr>
          <w:ilvl w:val="0"/>
          <w:numId w:val="12"/>
        </w:numPr>
        <w:snapToGrid w:val="0"/>
        <w:spacing w:before="180" w:beforeLines="50" w:after="180" w:afterLines="50" w:line="240" w:lineRule="auto"/>
        <w:jc w:val="both"/>
        <w:rPr>
          <w:rFonts w:ascii="Times New Roman" w:hAnsi="Times New Roman"/>
          <w:sz w:val="20"/>
          <w:szCs w:val="20"/>
          <w:lang w:val="en-GB"/>
        </w:rPr>
      </w:pPr>
      <w:r>
        <w:rPr>
          <w:rFonts w:ascii="Times New Roman" w:hAnsi="Times New Roman"/>
          <w:sz w:val="20"/>
          <w:szCs w:val="20"/>
        </w:rPr>
        <w:t>Final Report of 3GPP TSG RAN WG1 #94bis v1.0.0 (Chengdu, China, 8th – 12h October 2018)</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楷体_GB2312">
    <w:altName w:val="楷体"/>
    <w:panose1 w:val="00000000000000000000"/>
    <w:charset w:val="86"/>
    <w:family w:val="modern"/>
    <w:pitch w:val="default"/>
    <w:sig w:usb0="00000000" w:usb1="00000000"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C6FEB8"/>
    <w:multiLevelType w:val="singleLevel"/>
    <w:tmpl w:val="9FC6FEB8"/>
    <w:lvl w:ilvl="0" w:tentative="0">
      <w:start w:val="1"/>
      <w:numFmt w:val="bullet"/>
      <w:lvlText w:val="−"/>
      <w:lvlJc w:val="left"/>
      <w:pPr>
        <w:tabs>
          <w:tab w:val="left" w:pos="420"/>
        </w:tabs>
        <w:ind w:left="840" w:hanging="420"/>
      </w:pPr>
      <w:rPr>
        <w:rFonts w:hint="default" w:ascii="Arial" w:hAnsi="Arial" w:cs="Arial"/>
      </w:rPr>
    </w:lvl>
  </w:abstractNum>
  <w:abstractNum w:abstractNumId="1">
    <w:nsid w:val="B317893E"/>
    <w:multiLevelType w:val="singleLevel"/>
    <w:tmpl w:val="B317893E"/>
    <w:lvl w:ilvl="0" w:tentative="0">
      <w:start w:val="1"/>
      <w:numFmt w:val="decimal"/>
      <w:suff w:val="space"/>
      <w:lvlText w:val="[%1]"/>
      <w:lvlJc w:val="left"/>
    </w:lvl>
  </w:abstractNum>
  <w:abstractNum w:abstractNumId="2">
    <w:nsid w:val="DDFBACFD"/>
    <w:multiLevelType w:val="singleLevel"/>
    <w:tmpl w:val="DDFBACFD"/>
    <w:lvl w:ilvl="0" w:tentative="0">
      <w:start w:val="1"/>
      <w:numFmt w:val="bullet"/>
      <w:lvlText w:val="−"/>
      <w:lvlJc w:val="left"/>
      <w:pPr>
        <w:tabs>
          <w:tab w:val="left" w:pos="420"/>
        </w:tabs>
        <w:ind w:left="840" w:hanging="420"/>
      </w:pPr>
      <w:rPr>
        <w:rFonts w:hint="default" w:ascii="Arial" w:hAnsi="Arial" w:cs="Arial"/>
      </w:rPr>
    </w:lvl>
  </w:abstractNum>
  <w:abstractNum w:abstractNumId="3">
    <w:nsid w:val="E4DDD099"/>
    <w:multiLevelType w:val="singleLevel"/>
    <w:tmpl w:val="E4DDD099"/>
    <w:lvl w:ilvl="0" w:tentative="0">
      <w:start w:val="1"/>
      <w:numFmt w:val="bullet"/>
      <w:lvlText w:val="−"/>
      <w:lvlJc w:val="left"/>
      <w:pPr>
        <w:tabs>
          <w:tab w:val="left" w:pos="420"/>
        </w:tabs>
        <w:ind w:left="840" w:hanging="420"/>
      </w:pPr>
      <w:rPr>
        <w:rFonts w:hint="default" w:ascii="Arial" w:hAnsi="Arial" w:cs="Arial"/>
      </w:rPr>
    </w:lvl>
  </w:abstractNum>
  <w:abstractNum w:abstractNumId="4">
    <w:nsid w:val="FD8EB487"/>
    <w:multiLevelType w:val="singleLevel"/>
    <w:tmpl w:val="FD8EB487"/>
    <w:lvl w:ilvl="0" w:tentative="0">
      <w:start w:val="1"/>
      <w:numFmt w:val="bullet"/>
      <w:lvlText w:val="−"/>
      <w:lvlJc w:val="left"/>
      <w:pPr>
        <w:tabs>
          <w:tab w:val="left" w:pos="420"/>
        </w:tabs>
        <w:ind w:left="840" w:hanging="420"/>
      </w:pPr>
      <w:rPr>
        <w:rFonts w:hint="default" w:ascii="Arial" w:hAnsi="Arial" w:cs="Arial"/>
      </w:rPr>
    </w:lvl>
  </w:abstractNum>
  <w:abstractNum w:abstractNumId="5">
    <w:nsid w:val="08A41B52"/>
    <w:multiLevelType w:val="multilevel"/>
    <w:tmpl w:val="08A41B5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3FBB34C0"/>
    <w:multiLevelType w:val="multilevel"/>
    <w:tmpl w:val="3FBB34C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9">
    <w:nsid w:val="5BEC2621"/>
    <w:multiLevelType w:val="multilevel"/>
    <w:tmpl w:val="5BEC26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CC66CF1"/>
    <w:multiLevelType w:val="multilevel"/>
    <w:tmpl w:val="5CC66CF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55534DF"/>
    <w:multiLevelType w:val="multilevel"/>
    <w:tmpl w:val="655534DF"/>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7"/>
  </w:num>
  <w:num w:numId="3">
    <w:abstractNumId w:val="9"/>
  </w:num>
  <w:num w:numId="4">
    <w:abstractNumId w:val="10"/>
  </w:num>
  <w:num w:numId="5">
    <w:abstractNumId w:val="0"/>
  </w:num>
  <w:num w:numId="6">
    <w:abstractNumId w:val="6"/>
  </w:num>
  <w:num w:numId="7">
    <w:abstractNumId w:val="11"/>
  </w:num>
  <w:num w:numId="8">
    <w:abstractNumId w:val="3"/>
  </w:num>
  <w:num w:numId="9">
    <w:abstractNumId w:val="2"/>
  </w:num>
  <w:num w:numId="10">
    <w:abstractNumId w:val="4"/>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trackRevisions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1F32"/>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64"/>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6F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A8B"/>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293"/>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6D8"/>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40"/>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3C"/>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200"/>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B7F"/>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AF7"/>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CC2"/>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2E3"/>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6EBE"/>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81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CEA"/>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339"/>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BA4"/>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C6A"/>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15"/>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609"/>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A46"/>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94"/>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2D8"/>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9A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6EFC"/>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B41"/>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9C5"/>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5B3"/>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4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521"/>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BB6"/>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0DB9"/>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E5"/>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70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75AD4"/>
    <w:rsid w:val="028C43CB"/>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E54BD6"/>
    <w:rsid w:val="03E82126"/>
    <w:rsid w:val="03F96A50"/>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918B2"/>
    <w:rsid w:val="057E0FD7"/>
    <w:rsid w:val="05834D6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70906C4"/>
    <w:rsid w:val="07114B7A"/>
    <w:rsid w:val="07186D56"/>
    <w:rsid w:val="0721733B"/>
    <w:rsid w:val="07251E9C"/>
    <w:rsid w:val="072B2FCC"/>
    <w:rsid w:val="0737326C"/>
    <w:rsid w:val="073778E7"/>
    <w:rsid w:val="07487206"/>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173FC"/>
    <w:rsid w:val="07A51428"/>
    <w:rsid w:val="07A55451"/>
    <w:rsid w:val="07AB3A30"/>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7E6186"/>
    <w:rsid w:val="098147F0"/>
    <w:rsid w:val="098A3FEF"/>
    <w:rsid w:val="098F49D9"/>
    <w:rsid w:val="09A211FD"/>
    <w:rsid w:val="09A22CB0"/>
    <w:rsid w:val="09A33D5F"/>
    <w:rsid w:val="09B64FB7"/>
    <w:rsid w:val="09BE27FD"/>
    <w:rsid w:val="09C208A7"/>
    <w:rsid w:val="09D867C7"/>
    <w:rsid w:val="09DA2E15"/>
    <w:rsid w:val="09DC6D7F"/>
    <w:rsid w:val="09DF5FCB"/>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82B04"/>
    <w:rsid w:val="0BAA4E39"/>
    <w:rsid w:val="0BAC469F"/>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D5968"/>
    <w:rsid w:val="0D7E7590"/>
    <w:rsid w:val="0D8107A5"/>
    <w:rsid w:val="0D8952C8"/>
    <w:rsid w:val="0D940F4F"/>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D22DE"/>
    <w:rsid w:val="0F0E287E"/>
    <w:rsid w:val="0F122314"/>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353BA"/>
    <w:rsid w:val="10171D38"/>
    <w:rsid w:val="10173B20"/>
    <w:rsid w:val="101B4B2B"/>
    <w:rsid w:val="10214450"/>
    <w:rsid w:val="1046747A"/>
    <w:rsid w:val="104F503B"/>
    <w:rsid w:val="106104D8"/>
    <w:rsid w:val="10614B4D"/>
    <w:rsid w:val="106807AB"/>
    <w:rsid w:val="10697106"/>
    <w:rsid w:val="106D07A5"/>
    <w:rsid w:val="10766BB7"/>
    <w:rsid w:val="1079125F"/>
    <w:rsid w:val="10795FF0"/>
    <w:rsid w:val="107E7E13"/>
    <w:rsid w:val="108065DC"/>
    <w:rsid w:val="108D1F6F"/>
    <w:rsid w:val="108E6FAF"/>
    <w:rsid w:val="109B3B87"/>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BB36BD"/>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B084E"/>
    <w:rsid w:val="12766947"/>
    <w:rsid w:val="127709FC"/>
    <w:rsid w:val="127E6792"/>
    <w:rsid w:val="127F52A7"/>
    <w:rsid w:val="128301BF"/>
    <w:rsid w:val="128303BF"/>
    <w:rsid w:val="129C4B1E"/>
    <w:rsid w:val="12A13BDA"/>
    <w:rsid w:val="12A142E5"/>
    <w:rsid w:val="12A8272F"/>
    <w:rsid w:val="12AC6C59"/>
    <w:rsid w:val="12AE2A22"/>
    <w:rsid w:val="12B209E5"/>
    <w:rsid w:val="12B43E24"/>
    <w:rsid w:val="12C336A4"/>
    <w:rsid w:val="12C444E1"/>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E402F"/>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E577C7"/>
    <w:rsid w:val="15EA10AD"/>
    <w:rsid w:val="15EB18DC"/>
    <w:rsid w:val="15F04781"/>
    <w:rsid w:val="160856FA"/>
    <w:rsid w:val="160A3E2E"/>
    <w:rsid w:val="161409A3"/>
    <w:rsid w:val="161971DA"/>
    <w:rsid w:val="163E0BDC"/>
    <w:rsid w:val="164129F4"/>
    <w:rsid w:val="16446CE1"/>
    <w:rsid w:val="16486C96"/>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86536"/>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01D0"/>
    <w:rsid w:val="18CF54E2"/>
    <w:rsid w:val="18D51E03"/>
    <w:rsid w:val="18DC2029"/>
    <w:rsid w:val="18DC6725"/>
    <w:rsid w:val="18DF2E4F"/>
    <w:rsid w:val="18E51EDB"/>
    <w:rsid w:val="18EC1DAC"/>
    <w:rsid w:val="18EC69AA"/>
    <w:rsid w:val="18F03C02"/>
    <w:rsid w:val="18F44372"/>
    <w:rsid w:val="18F73D37"/>
    <w:rsid w:val="18FA3239"/>
    <w:rsid w:val="19087E5A"/>
    <w:rsid w:val="190B5982"/>
    <w:rsid w:val="190E24A2"/>
    <w:rsid w:val="190F246E"/>
    <w:rsid w:val="1910107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E7861"/>
    <w:rsid w:val="1B3F232C"/>
    <w:rsid w:val="1B4200FC"/>
    <w:rsid w:val="1B435219"/>
    <w:rsid w:val="1B55429F"/>
    <w:rsid w:val="1B5C0AA7"/>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863EB"/>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623D5"/>
    <w:rsid w:val="1DB80A24"/>
    <w:rsid w:val="1DBF1E64"/>
    <w:rsid w:val="1DC1491C"/>
    <w:rsid w:val="1DC46CA3"/>
    <w:rsid w:val="1DCC31D5"/>
    <w:rsid w:val="1DD16DAA"/>
    <w:rsid w:val="1DD60645"/>
    <w:rsid w:val="1DE071F3"/>
    <w:rsid w:val="1DF25E52"/>
    <w:rsid w:val="1DF37D9E"/>
    <w:rsid w:val="1DF559F7"/>
    <w:rsid w:val="1DF62D17"/>
    <w:rsid w:val="1E03278E"/>
    <w:rsid w:val="1E0556C5"/>
    <w:rsid w:val="1E09388F"/>
    <w:rsid w:val="1E0A63E5"/>
    <w:rsid w:val="1E0B3CFF"/>
    <w:rsid w:val="1E0B7097"/>
    <w:rsid w:val="1E122944"/>
    <w:rsid w:val="1E167FA6"/>
    <w:rsid w:val="1E1A488E"/>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554D9"/>
    <w:rsid w:val="1E5809DA"/>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B010E6"/>
    <w:rsid w:val="1EB67B5C"/>
    <w:rsid w:val="1EB85929"/>
    <w:rsid w:val="1EBC68DA"/>
    <w:rsid w:val="1EBF4CD5"/>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41AC3"/>
    <w:rsid w:val="216C6B87"/>
    <w:rsid w:val="21741179"/>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AE2277"/>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684F36"/>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272E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55283"/>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3207D"/>
    <w:rsid w:val="271438F4"/>
    <w:rsid w:val="27181BBE"/>
    <w:rsid w:val="272201E2"/>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C3FCF"/>
    <w:rsid w:val="27BF67BA"/>
    <w:rsid w:val="27C04AAA"/>
    <w:rsid w:val="27C60A21"/>
    <w:rsid w:val="27D021D8"/>
    <w:rsid w:val="27D54E77"/>
    <w:rsid w:val="27D65DE5"/>
    <w:rsid w:val="27D7429E"/>
    <w:rsid w:val="27DE1BFF"/>
    <w:rsid w:val="27E12983"/>
    <w:rsid w:val="27E44357"/>
    <w:rsid w:val="27EA32D3"/>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8D5417"/>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54216"/>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25A59"/>
    <w:rsid w:val="2D74403E"/>
    <w:rsid w:val="2D786928"/>
    <w:rsid w:val="2D797FB2"/>
    <w:rsid w:val="2D7E3395"/>
    <w:rsid w:val="2D885A00"/>
    <w:rsid w:val="2D964287"/>
    <w:rsid w:val="2D974D23"/>
    <w:rsid w:val="2D9B3D20"/>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E4"/>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F267B"/>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A4541"/>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1FF524C"/>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259F3"/>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94D65"/>
    <w:rsid w:val="38F35FC8"/>
    <w:rsid w:val="38F73A4C"/>
    <w:rsid w:val="38F904F0"/>
    <w:rsid w:val="390429EC"/>
    <w:rsid w:val="39061EF8"/>
    <w:rsid w:val="390E729C"/>
    <w:rsid w:val="39123E52"/>
    <w:rsid w:val="39126A08"/>
    <w:rsid w:val="391F1FF5"/>
    <w:rsid w:val="39231158"/>
    <w:rsid w:val="392B6C66"/>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00D63"/>
    <w:rsid w:val="3A2C3BA6"/>
    <w:rsid w:val="3A3539DC"/>
    <w:rsid w:val="3A3D4D53"/>
    <w:rsid w:val="3A4C45A1"/>
    <w:rsid w:val="3A577ADC"/>
    <w:rsid w:val="3A5914F9"/>
    <w:rsid w:val="3A5F3F5A"/>
    <w:rsid w:val="3A6D66ED"/>
    <w:rsid w:val="3A7116FC"/>
    <w:rsid w:val="3A736A4A"/>
    <w:rsid w:val="3A76541F"/>
    <w:rsid w:val="3A7D75EF"/>
    <w:rsid w:val="3A881F93"/>
    <w:rsid w:val="3A8D11CC"/>
    <w:rsid w:val="3A8E77EB"/>
    <w:rsid w:val="3A8E7E83"/>
    <w:rsid w:val="3A9A07D3"/>
    <w:rsid w:val="3A9C50AA"/>
    <w:rsid w:val="3AA312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86A6E"/>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75CF6"/>
    <w:rsid w:val="3F5954A7"/>
    <w:rsid w:val="3F5B1636"/>
    <w:rsid w:val="3F6249EF"/>
    <w:rsid w:val="3F6A75F8"/>
    <w:rsid w:val="3F6E46A4"/>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13493"/>
    <w:rsid w:val="4036300F"/>
    <w:rsid w:val="40366445"/>
    <w:rsid w:val="40374A52"/>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F14E1C"/>
    <w:rsid w:val="46F46934"/>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43B47"/>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41501"/>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515B8"/>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D4CCF"/>
    <w:rsid w:val="4D8412B2"/>
    <w:rsid w:val="4D841638"/>
    <w:rsid w:val="4D8A3A34"/>
    <w:rsid w:val="4D8C2260"/>
    <w:rsid w:val="4D8F063D"/>
    <w:rsid w:val="4DA0324A"/>
    <w:rsid w:val="4DA3682D"/>
    <w:rsid w:val="4DB20713"/>
    <w:rsid w:val="4DB2548E"/>
    <w:rsid w:val="4DB43700"/>
    <w:rsid w:val="4DB62FA2"/>
    <w:rsid w:val="4DB81350"/>
    <w:rsid w:val="4DB84B5B"/>
    <w:rsid w:val="4DBA216A"/>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75CDF"/>
    <w:rsid w:val="4E6C617F"/>
    <w:rsid w:val="4E762F41"/>
    <w:rsid w:val="4E776518"/>
    <w:rsid w:val="4E7964A9"/>
    <w:rsid w:val="4E7D7378"/>
    <w:rsid w:val="4E7F10F7"/>
    <w:rsid w:val="4E833067"/>
    <w:rsid w:val="4E8B5727"/>
    <w:rsid w:val="4E8D5B77"/>
    <w:rsid w:val="4E9F5822"/>
    <w:rsid w:val="4E9F6EED"/>
    <w:rsid w:val="4EA62C4C"/>
    <w:rsid w:val="4EA90553"/>
    <w:rsid w:val="4EAB4013"/>
    <w:rsid w:val="4EAD5507"/>
    <w:rsid w:val="4EB37DFC"/>
    <w:rsid w:val="4EB54156"/>
    <w:rsid w:val="4EB74D7B"/>
    <w:rsid w:val="4EBC593E"/>
    <w:rsid w:val="4ED208AF"/>
    <w:rsid w:val="4ED300A0"/>
    <w:rsid w:val="4ED74ED3"/>
    <w:rsid w:val="4ED77782"/>
    <w:rsid w:val="4EE8080A"/>
    <w:rsid w:val="4EEA0EBA"/>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C67FA"/>
    <w:rsid w:val="4FDF729C"/>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061B4"/>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B36A7"/>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E289A"/>
    <w:rsid w:val="5635337A"/>
    <w:rsid w:val="563B1048"/>
    <w:rsid w:val="5646524C"/>
    <w:rsid w:val="5649734E"/>
    <w:rsid w:val="564E3688"/>
    <w:rsid w:val="56514294"/>
    <w:rsid w:val="5662083F"/>
    <w:rsid w:val="566355DD"/>
    <w:rsid w:val="56680BC9"/>
    <w:rsid w:val="566926ED"/>
    <w:rsid w:val="567043C4"/>
    <w:rsid w:val="567119B3"/>
    <w:rsid w:val="56711FDB"/>
    <w:rsid w:val="567636B0"/>
    <w:rsid w:val="567E3000"/>
    <w:rsid w:val="567F4D05"/>
    <w:rsid w:val="568363E1"/>
    <w:rsid w:val="568F72CF"/>
    <w:rsid w:val="569C7055"/>
    <w:rsid w:val="56A84128"/>
    <w:rsid w:val="56AC31BC"/>
    <w:rsid w:val="56B20B45"/>
    <w:rsid w:val="56B2689B"/>
    <w:rsid w:val="56B635AB"/>
    <w:rsid w:val="56BF1F76"/>
    <w:rsid w:val="56C0283E"/>
    <w:rsid w:val="56C05533"/>
    <w:rsid w:val="56D418EA"/>
    <w:rsid w:val="56D43345"/>
    <w:rsid w:val="56E365E9"/>
    <w:rsid w:val="56E8313E"/>
    <w:rsid w:val="56EB4412"/>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31D58"/>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70D79"/>
    <w:rsid w:val="5ABE2DB3"/>
    <w:rsid w:val="5AC4568B"/>
    <w:rsid w:val="5AC465B0"/>
    <w:rsid w:val="5AC9126A"/>
    <w:rsid w:val="5ACB4402"/>
    <w:rsid w:val="5ACD5F94"/>
    <w:rsid w:val="5AD140B1"/>
    <w:rsid w:val="5ADC54ED"/>
    <w:rsid w:val="5AE627DD"/>
    <w:rsid w:val="5AE65AC1"/>
    <w:rsid w:val="5AE86727"/>
    <w:rsid w:val="5AED60B1"/>
    <w:rsid w:val="5AF10757"/>
    <w:rsid w:val="5AF37FA5"/>
    <w:rsid w:val="5AF66A35"/>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1487C"/>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7117C"/>
    <w:rsid w:val="5D241D0D"/>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15D87"/>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B735D2"/>
    <w:rsid w:val="60C31A2D"/>
    <w:rsid w:val="60C44D7F"/>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1D3C1F"/>
    <w:rsid w:val="63232D11"/>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96742"/>
    <w:rsid w:val="63F25DA5"/>
    <w:rsid w:val="63FC5574"/>
    <w:rsid w:val="6405483D"/>
    <w:rsid w:val="640C5C73"/>
    <w:rsid w:val="640E6446"/>
    <w:rsid w:val="6410782B"/>
    <w:rsid w:val="64131ACE"/>
    <w:rsid w:val="64193316"/>
    <w:rsid w:val="641E4A63"/>
    <w:rsid w:val="641F6408"/>
    <w:rsid w:val="64267B2C"/>
    <w:rsid w:val="642C2369"/>
    <w:rsid w:val="6435158C"/>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35DE8"/>
    <w:rsid w:val="64B7365E"/>
    <w:rsid w:val="64BB63A3"/>
    <w:rsid w:val="64C32A6F"/>
    <w:rsid w:val="64C70EC1"/>
    <w:rsid w:val="64C91401"/>
    <w:rsid w:val="64CD2D4A"/>
    <w:rsid w:val="64D71BA6"/>
    <w:rsid w:val="64F05517"/>
    <w:rsid w:val="64F34891"/>
    <w:rsid w:val="64F45D47"/>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B361D"/>
    <w:rsid w:val="66315775"/>
    <w:rsid w:val="66355B8E"/>
    <w:rsid w:val="66467706"/>
    <w:rsid w:val="664A400E"/>
    <w:rsid w:val="664E41D9"/>
    <w:rsid w:val="664F3140"/>
    <w:rsid w:val="665610A9"/>
    <w:rsid w:val="66590DCD"/>
    <w:rsid w:val="666358BC"/>
    <w:rsid w:val="66695AF1"/>
    <w:rsid w:val="666E74C1"/>
    <w:rsid w:val="667A263F"/>
    <w:rsid w:val="66802FE7"/>
    <w:rsid w:val="66812D23"/>
    <w:rsid w:val="669A357F"/>
    <w:rsid w:val="669B467B"/>
    <w:rsid w:val="66A31556"/>
    <w:rsid w:val="66AB4650"/>
    <w:rsid w:val="66AF5BE1"/>
    <w:rsid w:val="66B37F84"/>
    <w:rsid w:val="66B40759"/>
    <w:rsid w:val="66BE2FA5"/>
    <w:rsid w:val="66C16711"/>
    <w:rsid w:val="66C9321B"/>
    <w:rsid w:val="66CC4487"/>
    <w:rsid w:val="66D61628"/>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80760"/>
    <w:rsid w:val="68261655"/>
    <w:rsid w:val="682812E5"/>
    <w:rsid w:val="682F7DB2"/>
    <w:rsid w:val="6831388B"/>
    <w:rsid w:val="683770B8"/>
    <w:rsid w:val="683965C1"/>
    <w:rsid w:val="683B5DF7"/>
    <w:rsid w:val="68430152"/>
    <w:rsid w:val="684D72F1"/>
    <w:rsid w:val="68596E7A"/>
    <w:rsid w:val="685E0BD6"/>
    <w:rsid w:val="6862505C"/>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E0639E"/>
    <w:rsid w:val="6BE444FA"/>
    <w:rsid w:val="6BEC66EE"/>
    <w:rsid w:val="6BF07EAA"/>
    <w:rsid w:val="6BF14A0C"/>
    <w:rsid w:val="6BF20FB8"/>
    <w:rsid w:val="6BF37AC3"/>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4B74A1"/>
    <w:rsid w:val="70513178"/>
    <w:rsid w:val="705E1EC1"/>
    <w:rsid w:val="705F0277"/>
    <w:rsid w:val="7060303C"/>
    <w:rsid w:val="706A1F04"/>
    <w:rsid w:val="706B024D"/>
    <w:rsid w:val="70711F9A"/>
    <w:rsid w:val="70764871"/>
    <w:rsid w:val="707C2F7E"/>
    <w:rsid w:val="7080762B"/>
    <w:rsid w:val="70812330"/>
    <w:rsid w:val="708448A6"/>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301303C"/>
    <w:rsid w:val="73024E04"/>
    <w:rsid w:val="7304100E"/>
    <w:rsid w:val="730B0185"/>
    <w:rsid w:val="730B2912"/>
    <w:rsid w:val="73117F42"/>
    <w:rsid w:val="73130C07"/>
    <w:rsid w:val="73266F63"/>
    <w:rsid w:val="732A69D2"/>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C55A94"/>
    <w:rsid w:val="73D63DCA"/>
    <w:rsid w:val="73FA0DAA"/>
    <w:rsid w:val="73FF104A"/>
    <w:rsid w:val="740441B3"/>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26226A"/>
    <w:rsid w:val="75280AAD"/>
    <w:rsid w:val="752F371C"/>
    <w:rsid w:val="753A4DD0"/>
    <w:rsid w:val="7542280E"/>
    <w:rsid w:val="7545531A"/>
    <w:rsid w:val="75560317"/>
    <w:rsid w:val="75566F69"/>
    <w:rsid w:val="755D1234"/>
    <w:rsid w:val="755F09DF"/>
    <w:rsid w:val="75675ADF"/>
    <w:rsid w:val="756B54F8"/>
    <w:rsid w:val="756C6582"/>
    <w:rsid w:val="756D4E66"/>
    <w:rsid w:val="756E5D13"/>
    <w:rsid w:val="75763A5C"/>
    <w:rsid w:val="757816ED"/>
    <w:rsid w:val="757A602C"/>
    <w:rsid w:val="7580636A"/>
    <w:rsid w:val="758641B8"/>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B3DFC"/>
    <w:rsid w:val="76710E80"/>
    <w:rsid w:val="767E302B"/>
    <w:rsid w:val="768542F9"/>
    <w:rsid w:val="769016B8"/>
    <w:rsid w:val="76932345"/>
    <w:rsid w:val="769F0579"/>
    <w:rsid w:val="76A35D52"/>
    <w:rsid w:val="76A5232A"/>
    <w:rsid w:val="76A5622D"/>
    <w:rsid w:val="76A633ED"/>
    <w:rsid w:val="76AB5F51"/>
    <w:rsid w:val="76B02504"/>
    <w:rsid w:val="76B576A3"/>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43794"/>
    <w:rsid w:val="77492C03"/>
    <w:rsid w:val="774F423A"/>
    <w:rsid w:val="774F7910"/>
    <w:rsid w:val="7756714D"/>
    <w:rsid w:val="77597E3E"/>
    <w:rsid w:val="77625740"/>
    <w:rsid w:val="7769549F"/>
    <w:rsid w:val="777C4D24"/>
    <w:rsid w:val="778807C6"/>
    <w:rsid w:val="77883832"/>
    <w:rsid w:val="7789361D"/>
    <w:rsid w:val="77905FA2"/>
    <w:rsid w:val="779B34EE"/>
    <w:rsid w:val="77A6008A"/>
    <w:rsid w:val="77B05D89"/>
    <w:rsid w:val="77B268BA"/>
    <w:rsid w:val="77B47AEB"/>
    <w:rsid w:val="77B6601D"/>
    <w:rsid w:val="77BB391E"/>
    <w:rsid w:val="77BF6C49"/>
    <w:rsid w:val="77D7676B"/>
    <w:rsid w:val="77DD7A01"/>
    <w:rsid w:val="77E85637"/>
    <w:rsid w:val="77EE30D2"/>
    <w:rsid w:val="77F630A0"/>
    <w:rsid w:val="78005696"/>
    <w:rsid w:val="78005B7D"/>
    <w:rsid w:val="7807282F"/>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B626A"/>
    <w:rsid w:val="7883577A"/>
    <w:rsid w:val="78842FF3"/>
    <w:rsid w:val="7889168E"/>
    <w:rsid w:val="78932A56"/>
    <w:rsid w:val="78957160"/>
    <w:rsid w:val="7897387D"/>
    <w:rsid w:val="78996993"/>
    <w:rsid w:val="789F0234"/>
    <w:rsid w:val="78A24FBC"/>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880"/>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F218D"/>
    <w:rsid w:val="7C8B4BD5"/>
    <w:rsid w:val="7C997B8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3603"/>
    <w:rsid w:val="7F3C394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01D45"/>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unhideWhenUsed/>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Balloon Text Char"/>
    <w:link w:val="18"/>
    <w:semiHidden/>
    <w:qFormat/>
    <w:uiPriority w:val="99"/>
    <w:rPr>
      <w:rFonts w:ascii="Tahoma" w:hAnsi="Tahoma" w:cs="Tahoma"/>
      <w:sz w:val="16"/>
      <w:szCs w:val="16"/>
    </w:rPr>
  </w:style>
  <w:style w:type="character" w:customStyle="1" w:styleId="30">
    <w:name w:val="Heading 1 Char"/>
    <w:link w:val="2"/>
    <w:qFormat/>
    <w:uiPriority w:val="99"/>
    <w:rPr>
      <w:rFonts w:ascii="Arial" w:hAnsi="Arial" w:eastAsia="黑体"/>
      <w:b/>
      <w:bCs/>
      <w:sz w:val="30"/>
      <w:szCs w:val="30"/>
      <w:lang w:val="zh-CN" w:eastAsia="zh-CN"/>
    </w:rPr>
  </w:style>
  <w:style w:type="character" w:customStyle="1" w:styleId="31">
    <w:name w:val="Header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Comment Text Char"/>
    <w:basedOn w:val="25"/>
    <w:link w:val="11"/>
    <w:qFormat/>
    <w:uiPriority w:val="99"/>
  </w:style>
  <w:style w:type="character" w:customStyle="1" w:styleId="34">
    <w:name w:val="Comment Subject Char"/>
    <w:link w:val="22"/>
    <w:semiHidden/>
    <w:qFormat/>
    <w:uiPriority w:val="99"/>
    <w:rPr>
      <w:b/>
      <w:bCs/>
    </w:rPr>
  </w:style>
  <w:style w:type="character" w:customStyle="1" w:styleId="35">
    <w:name w:val="Document Map Char"/>
    <w:link w:val="10"/>
    <w:semiHidden/>
    <w:qFormat/>
    <w:uiPriority w:val="99"/>
    <w:rPr>
      <w:rFonts w:ascii="宋体"/>
      <w:sz w:val="18"/>
      <w:szCs w:val="18"/>
    </w:rPr>
  </w:style>
  <w:style w:type="character" w:customStyle="1" w:styleId="36">
    <w:name w:val="Body Text Char"/>
    <w:link w:val="12"/>
    <w:qFormat/>
    <w:uiPriority w:val="0"/>
    <w:rPr>
      <w:rFonts w:ascii="Times New Roman" w:hAnsi="Times New Roman"/>
      <w:color w:val="0000FF"/>
      <w:kern w:val="2"/>
      <w:sz w:val="21"/>
    </w:rPr>
  </w:style>
  <w:style w:type="character" w:customStyle="1" w:styleId="37">
    <w:name w:val="Caption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Footer Char"/>
    <w:link w:val="19"/>
    <w:qFormat/>
    <w:uiPriority w:val="99"/>
    <w:rPr>
      <w:sz w:val="18"/>
      <w:szCs w:val="18"/>
    </w:rPr>
  </w:style>
  <w:style w:type="character" w:customStyle="1" w:styleId="40">
    <w:name w:val="Heading 2 Char"/>
    <w:link w:val="3"/>
    <w:qFormat/>
    <w:uiPriority w:val="0"/>
    <w:rPr>
      <w:rFonts w:ascii="Cambria" w:hAnsi="Cambria"/>
      <w:b/>
      <w:bCs/>
      <w:sz w:val="32"/>
      <w:szCs w:val="32"/>
      <w:lang w:val="en-US" w:eastAsia="zh-CN"/>
    </w:rPr>
  </w:style>
  <w:style w:type="character" w:customStyle="1" w:styleId="41">
    <w:name w:val="Heading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Date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Plain Text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Heading 4 Char"/>
    <w:link w:val="5"/>
    <w:qFormat/>
    <w:uiPriority w:val="0"/>
    <w:rPr>
      <w:rFonts w:ascii="Times New Roman" w:hAnsi="Times New Roman"/>
      <w:b/>
      <w:sz w:val="28"/>
      <w:szCs w:val="28"/>
      <w:lang w:val="en-GB"/>
    </w:rPr>
  </w:style>
  <w:style w:type="character" w:customStyle="1" w:styleId="61">
    <w:name w:val="Heading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Body Text Indent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paragraph" w:customStyle="1" w:styleId="87">
    <w:name w:val="NO"/>
    <w:basedOn w:val="1"/>
    <w:qFormat/>
    <w:uiPriority w:val="0"/>
    <w:pPr>
      <w:keepLines/>
      <w:ind w:left="1135" w:hanging="851"/>
    </w:pPr>
  </w:style>
  <w:style w:type="paragraph" w:styleId="88">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68577F-F49A-48A1-9963-E59999C152C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1709</Words>
  <Characters>9742</Characters>
  <Lines>81</Lines>
  <Paragraphs>22</Paragraphs>
  <TotalTime>9</TotalTime>
  <ScaleCrop>false</ScaleCrop>
  <LinksUpToDate>false</LinksUpToDate>
  <CharactersWithSpaces>11429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2020-08-07T06:46:49Z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